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99060" w14:textId="77777777" w:rsidR="00523E8C" w:rsidRPr="007F43A1"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r w:rsidRPr="007F43A1">
        <w:rPr>
          <w:rFonts w:ascii="Arial" w:eastAsiaTheme="minorHAnsi" w:hAnsi="Arial" w:cs="Arial"/>
          <w:b/>
          <w:noProof w:val="0"/>
          <w:color w:val="000000"/>
          <w:position w:val="0"/>
          <w:sz w:val="20"/>
          <w:szCs w:val="20"/>
          <w:u w:val="single"/>
        </w:rPr>
        <w:t>Resmi Gazete Dışındaki Kaynak</w:t>
      </w:r>
      <w:bookmarkStart w:id="0" w:name="_GoBack"/>
      <w:bookmarkEnd w:id="0"/>
    </w:p>
    <w:p w14:paraId="22C49BDA" w14:textId="77777777" w:rsidR="00523E8C"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r w:rsidRPr="007F43A1">
        <w:rPr>
          <w:rFonts w:ascii="Arial" w:eastAsiaTheme="minorHAnsi" w:hAnsi="Arial" w:cs="Arial"/>
          <w:b/>
          <w:noProof w:val="0"/>
          <w:color w:val="000000"/>
          <w:position w:val="0"/>
          <w:sz w:val="20"/>
          <w:szCs w:val="20"/>
          <w:u w:val="single"/>
        </w:rPr>
        <w:t>Hazine Müsteşarlığı</w:t>
      </w:r>
    </w:p>
    <w:p w14:paraId="6B9BC007" w14:textId="77777777" w:rsidR="00523E8C" w:rsidRPr="007F43A1"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p>
    <w:p w14:paraId="5122B178" w14:textId="77777777" w:rsidR="00523E8C" w:rsidRPr="000707A6" w:rsidRDefault="00523E8C" w:rsidP="00523E8C">
      <w:pPr>
        <w:pStyle w:val="Balk2"/>
      </w:pPr>
      <w:bookmarkStart w:id="1" w:name="_Toc10203612"/>
      <w:bookmarkStart w:id="2" w:name="_Toc91679153"/>
      <w:bookmarkStart w:id="3" w:name="_Toc105418785"/>
      <w:r w:rsidRPr="00287A4E">
        <w:t>YILLIK GELİR SİGORTALARINA YÖNELİK TÜFE ENDEKSLİ ANÜİTE DEVLET TAHVİLLERİ HAKKINDA SEKTÖR DUYURUSU (2016/4)</w:t>
      </w:r>
      <w:bookmarkEnd w:id="1"/>
      <w:bookmarkEnd w:id="2"/>
      <w:bookmarkEnd w:id="3"/>
    </w:p>
    <w:p w14:paraId="3AFF3C35" w14:textId="77777777" w:rsidR="00523E8C"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p>
    <w:p w14:paraId="6CB5A181" w14:textId="77777777" w:rsidR="00523E8C" w:rsidRPr="001B460B" w:rsidRDefault="00523E8C" w:rsidP="00523E8C">
      <w:pPr>
        <w:widowControl w:val="0"/>
        <w:spacing w:line="276" w:lineRule="auto"/>
        <w:ind w:left="170" w:right="170"/>
        <w:rPr>
          <w:rFonts w:ascii="Arial" w:eastAsiaTheme="minorHAnsi" w:hAnsi="Arial" w:cs="Arial"/>
          <w:bCs/>
          <w:noProof w:val="0"/>
          <w:color w:val="000000"/>
          <w:position w:val="0"/>
          <w:sz w:val="20"/>
          <w:szCs w:val="20"/>
        </w:rPr>
      </w:pPr>
      <w:r w:rsidRPr="001B460B">
        <w:rPr>
          <w:rFonts w:ascii="Arial" w:eastAsiaTheme="minorHAnsi" w:hAnsi="Arial" w:cs="Arial"/>
          <w:bCs/>
          <w:noProof w:val="0"/>
          <w:color w:val="000000"/>
          <w:position w:val="0"/>
          <w:sz w:val="20"/>
          <w:szCs w:val="20"/>
        </w:rPr>
        <w:t>Bilindiği üzere, 01.04.2015 tarihli ve 29313 sayılı Resmi Gazete’ de yayımlanarak, 01.10.2015 tarihinde yürürlüğe giren Yıllık Gelir Sigortaları Yönetmeliğinin 13’üncü maddesi ile bireysel emeklilik sistemindeki asgari emeklilik yaşı kriteri göz önünde bulundurularak, 56 yaş ve üzeri kişilere sunulacak yıllık gelir sigortalarında, Türk Lirası cinsinden tek prim karşılığında, ömür boyu irat ödenmesi ve irat ödemelerinin her takvim yılı başında en az TÜFE oranında arttırılması esası getirilmiş olup; anılan Yönetmeliğin 7’inci maddesi ile yıllık gelir sigortası sözleşmesi akdedecek sigorta ve emeklilik şirketlerinin, yıllık gelir sigortası sözleşmelerine ilişkin yükümlülüklerini karşılamaya yeter düzeyde, Müsteşarlıkça belirlenecek esaslar dahilinde varlık bulundurma zorunluluğu hükme bağlanmıştır.</w:t>
      </w:r>
    </w:p>
    <w:p w14:paraId="0F01D36B" w14:textId="77777777" w:rsidR="00523E8C" w:rsidRPr="001B460B" w:rsidRDefault="00523E8C" w:rsidP="00523E8C">
      <w:pPr>
        <w:widowControl w:val="0"/>
        <w:spacing w:line="276" w:lineRule="auto"/>
        <w:ind w:left="170" w:right="170"/>
        <w:rPr>
          <w:rFonts w:ascii="Arial" w:eastAsiaTheme="minorHAnsi" w:hAnsi="Arial" w:cs="Arial"/>
          <w:bCs/>
          <w:noProof w:val="0"/>
          <w:color w:val="000000"/>
          <w:position w:val="0"/>
          <w:sz w:val="20"/>
          <w:szCs w:val="20"/>
        </w:rPr>
      </w:pPr>
      <w:r w:rsidRPr="001B460B">
        <w:rPr>
          <w:rFonts w:ascii="Arial" w:eastAsiaTheme="minorHAnsi" w:hAnsi="Arial" w:cs="Arial"/>
          <w:bCs/>
          <w:noProof w:val="0"/>
          <w:color w:val="000000"/>
          <w:position w:val="0"/>
          <w:sz w:val="20"/>
          <w:szCs w:val="20"/>
        </w:rPr>
        <w:t>Bu çerçevede, enflasyondaki değişmelerden etkilenmeyen öngörülebilir net getiri garantisi sağlayan TÜFE’ye endeksli anüite Devlet tahvillerine ilişkin olarak, Müsteşarlığımızca 2015 yılı Aralık ayında Yatırımcı Kılavuzu yayımlanmış olup; anılan tahvillerin elde tutulması ve elden çıkarılmasından doğan kazançların vergilendirilmesine ilişkin olarak, 21.04.2016 tarihli ve 29691 sayılı Resmi Gazete’ de Gelir Vergisi Genel Tebliği yayımlanmıştır.</w:t>
      </w:r>
    </w:p>
    <w:p w14:paraId="54186598" w14:textId="77777777" w:rsidR="00523E8C" w:rsidRPr="001B460B" w:rsidRDefault="00523E8C" w:rsidP="00523E8C">
      <w:pPr>
        <w:widowControl w:val="0"/>
        <w:spacing w:line="276" w:lineRule="auto"/>
        <w:ind w:left="170" w:right="170"/>
        <w:rPr>
          <w:rFonts w:ascii="Arial" w:eastAsiaTheme="minorHAnsi" w:hAnsi="Arial" w:cs="Arial"/>
          <w:bCs/>
          <w:noProof w:val="0"/>
          <w:color w:val="000000"/>
          <w:position w:val="0"/>
          <w:sz w:val="20"/>
          <w:szCs w:val="20"/>
        </w:rPr>
      </w:pPr>
      <w:r w:rsidRPr="001B460B">
        <w:rPr>
          <w:rFonts w:ascii="Arial" w:eastAsiaTheme="minorHAnsi" w:hAnsi="Arial" w:cs="Arial"/>
          <w:bCs/>
          <w:noProof w:val="0"/>
          <w:color w:val="000000"/>
          <w:position w:val="0"/>
          <w:sz w:val="20"/>
          <w:szCs w:val="20"/>
        </w:rPr>
        <w:t>Bu itibarla, yıllık gelir sigortası sözleşmesi akdetmek için Müsteşarlığımıza yazılı olarak başvuracak şirketlerin söz konusu ürünlere ilişkin, anılan Yönetmelik ve 2015/30 sayılı Genelge hükümlerinde yer alan esaslar ile bu ürünlere uygun ihraç edilecek Devlet tahvillerine yönelik hazırlıklarını tamamlaması gerekmektedir.</w:t>
      </w:r>
    </w:p>
    <w:p w14:paraId="46FE5B20" w14:textId="77777777" w:rsidR="00523E8C"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p>
    <w:tbl>
      <w:tblPr>
        <w:tblStyle w:val="TabloKlavuzu"/>
        <w:tblpPr w:leftFromText="141" w:rightFromText="141" w:vertAnchor="text" w:horzAnchor="margin" w:tblpY="130"/>
        <w:tblW w:w="0" w:type="auto"/>
        <w:tblLook w:val="04A0" w:firstRow="1" w:lastRow="0" w:firstColumn="1" w:lastColumn="0" w:noHBand="0" w:noVBand="1"/>
      </w:tblPr>
      <w:tblGrid>
        <w:gridCol w:w="3016"/>
        <w:gridCol w:w="3019"/>
        <w:gridCol w:w="2462"/>
      </w:tblGrid>
      <w:tr w:rsidR="00523E8C" w14:paraId="79911A6B" w14:textId="77777777" w:rsidTr="00295F69">
        <w:trPr>
          <w:trHeight w:val="289"/>
        </w:trPr>
        <w:tc>
          <w:tcPr>
            <w:tcW w:w="8497" w:type="dxa"/>
            <w:gridSpan w:val="3"/>
          </w:tcPr>
          <w:p w14:paraId="26FAAB79" w14:textId="77777777" w:rsidR="00523E8C" w:rsidRPr="004F3AB8" w:rsidRDefault="00523E8C" w:rsidP="00295F69">
            <w:pPr>
              <w:widowControl w:val="0"/>
              <w:ind w:right="170"/>
              <w:jc w:val="center"/>
              <w:rPr>
                <w:rFonts w:ascii="Arial" w:hAnsi="Arial" w:cs="Arial"/>
                <w:b/>
                <w:noProof w:val="0"/>
                <w:position w:val="0"/>
                <w:sz w:val="20"/>
                <w:szCs w:val="20"/>
              </w:rPr>
            </w:pPr>
            <w:r w:rsidRPr="004F3AB8">
              <w:rPr>
                <w:rFonts w:ascii="Arial" w:hAnsi="Arial" w:cs="Arial"/>
                <w:b/>
                <w:noProof w:val="0"/>
                <w:position w:val="0"/>
                <w:sz w:val="20"/>
                <w:szCs w:val="20"/>
              </w:rPr>
              <w:t>Sektör Duyurusu’nun</w:t>
            </w:r>
          </w:p>
        </w:tc>
      </w:tr>
      <w:tr w:rsidR="00523E8C" w14:paraId="6E35784A" w14:textId="77777777" w:rsidTr="00295F69">
        <w:trPr>
          <w:trHeight w:val="289"/>
        </w:trPr>
        <w:tc>
          <w:tcPr>
            <w:tcW w:w="3016" w:type="dxa"/>
          </w:tcPr>
          <w:p w14:paraId="4EAF766D" w14:textId="77777777" w:rsidR="00523E8C" w:rsidRPr="004F3AB8" w:rsidRDefault="00523E8C" w:rsidP="00295F69">
            <w:pPr>
              <w:widowControl w:val="0"/>
              <w:ind w:right="170"/>
              <w:jc w:val="center"/>
              <w:rPr>
                <w:rFonts w:ascii="Arial" w:hAnsi="Arial" w:cs="Arial"/>
                <w:b/>
                <w:noProof w:val="0"/>
                <w:position w:val="0"/>
                <w:sz w:val="20"/>
                <w:szCs w:val="20"/>
              </w:rPr>
            </w:pPr>
            <w:r w:rsidRPr="004F3AB8">
              <w:rPr>
                <w:rFonts w:ascii="Arial" w:hAnsi="Arial" w:cs="Arial"/>
                <w:b/>
                <w:noProof w:val="0"/>
                <w:position w:val="0"/>
                <w:sz w:val="20"/>
                <w:szCs w:val="20"/>
              </w:rPr>
              <w:t>Numarası</w:t>
            </w:r>
          </w:p>
        </w:tc>
        <w:tc>
          <w:tcPr>
            <w:tcW w:w="3019" w:type="dxa"/>
          </w:tcPr>
          <w:p w14:paraId="3C5F21AB" w14:textId="77777777" w:rsidR="00523E8C" w:rsidRPr="004F3AB8" w:rsidRDefault="00523E8C" w:rsidP="00295F69">
            <w:pPr>
              <w:widowControl w:val="0"/>
              <w:ind w:right="170"/>
              <w:jc w:val="center"/>
              <w:rPr>
                <w:rFonts w:ascii="Arial" w:hAnsi="Arial" w:cs="Arial"/>
                <w:b/>
                <w:noProof w:val="0"/>
                <w:position w:val="0"/>
                <w:sz w:val="20"/>
                <w:szCs w:val="20"/>
              </w:rPr>
            </w:pPr>
            <w:r w:rsidRPr="004F3AB8">
              <w:rPr>
                <w:rFonts w:ascii="Arial" w:hAnsi="Arial" w:cs="Arial"/>
                <w:b/>
                <w:noProof w:val="0"/>
                <w:position w:val="0"/>
                <w:sz w:val="20"/>
                <w:szCs w:val="20"/>
              </w:rPr>
              <w:t>Kabul Tarihi</w:t>
            </w:r>
          </w:p>
        </w:tc>
        <w:tc>
          <w:tcPr>
            <w:tcW w:w="2462" w:type="dxa"/>
          </w:tcPr>
          <w:p w14:paraId="289B7071" w14:textId="77777777" w:rsidR="00523E8C" w:rsidRPr="004F3AB8" w:rsidRDefault="00523E8C" w:rsidP="00295F69">
            <w:pPr>
              <w:widowControl w:val="0"/>
              <w:ind w:right="170"/>
              <w:jc w:val="center"/>
              <w:rPr>
                <w:rFonts w:ascii="Arial" w:hAnsi="Arial" w:cs="Arial"/>
                <w:b/>
                <w:noProof w:val="0"/>
                <w:position w:val="0"/>
                <w:sz w:val="20"/>
                <w:szCs w:val="20"/>
              </w:rPr>
            </w:pPr>
            <w:r w:rsidRPr="004F3AB8">
              <w:rPr>
                <w:rFonts w:ascii="Arial" w:hAnsi="Arial" w:cs="Arial"/>
                <w:b/>
                <w:noProof w:val="0"/>
                <w:position w:val="0"/>
                <w:sz w:val="20"/>
                <w:szCs w:val="20"/>
              </w:rPr>
              <w:t>Yürürlüğe Giriş Tarihi</w:t>
            </w:r>
          </w:p>
        </w:tc>
      </w:tr>
      <w:tr w:rsidR="00523E8C" w14:paraId="33A5D5AB" w14:textId="77777777" w:rsidTr="00295F69">
        <w:trPr>
          <w:trHeight w:val="289"/>
        </w:trPr>
        <w:tc>
          <w:tcPr>
            <w:tcW w:w="3016" w:type="dxa"/>
          </w:tcPr>
          <w:p w14:paraId="1454958A" w14:textId="77777777" w:rsidR="00523E8C" w:rsidRPr="004F3AB8" w:rsidRDefault="00523E8C" w:rsidP="00295F69">
            <w:pPr>
              <w:widowControl w:val="0"/>
              <w:ind w:right="170"/>
              <w:jc w:val="center"/>
              <w:rPr>
                <w:rFonts w:ascii="Arial" w:hAnsi="Arial" w:cs="Arial"/>
                <w:noProof w:val="0"/>
                <w:position w:val="0"/>
                <w:sz w:val="20"/>
                <w:szCs w:val="20"/>
              </w:rPr>
            </w:pPr>
            <w:r w:rsidRPr="004F3AB8">
              <w:rPr>
                <w:rFonts w:ascii="Arial" w:hAnsi="Arial" w:cs="Arial"/>
                <w:noProof w:val="0"/>
                <w:position w:val="0"/>
                <w:sz w:val="20"/>
                <w:szCs w:val="20"/>
              </w:rPr>
              <w:t>2016/4</w:t>
            </w:r>
          </w:p>
        </w:tc>
        <w:tc>
          <w:tcPr>
            <w:tcW w:w="3019" w:type="dxa"/>
          </w:tcPr>
          <w:p w14:paraId="0BF97CEB" w14:textId="77777777" w:rsidR="00523E8C" w:rsidRPr="004F3AB8" w:rsidRDefault="00523E8C" w:rsidP="00295F69">
            <w:pPr>
              <w:widowControl w:val="0"/>
              <w:ind w:right="170"/>
              <w:jc w:val="center"/>
              <w:rPr>
                <w:rFonts w:ascii="Arial" w:hAnsi="Arial" w:cs="Arial"/>
                <w:noProof w:val="0"/>
                <w:position w:val="0"/>
                <w:sz w:val="20"/>
                <w:szCs w:val="20"/>
              </w:rPr>
            </w:pPr>
            <w:r w:rsidRPr="004F3AB8">
              <w:rPr>
                <w:rFonts w:ascii="Arial" w:hAnsi="Arial" w:cs="Arial"/>
                <w:noProof w:val="0"/>
                <w:position w:val="0"/>
                <w:sz w:val="20"/>
                <w:szCs w:val="20"/>
              </w:rPr>
              <w:t>26.04.2016</w:t>
            </w:r>
          </w:p>
        </w:tc>
        <w:tc>
          <w:tcPr>
            <w:tcW w:w="2462" w:type="dxa"/>
          </w:tcPr>
          <w:p w14:paraId="7D39F62B" w14:textId="77777777" w:rsidR="00523E8C" w:rsidRPr="004F3AB8" w:rsidRDefault="00523E8C" w:rsidP="00295F69">
            <w:pPr>
              <w:widowControl w:val="0"/>
              <w:ind w:right="170"/>
              <w:jc w:val="center"/>
              <w:rPr>
                <w:rFonts w:ascii="Arial" w:hAnsi="Arial" w:cs="Arial"/>
                <w:noProof w:val="0"/>
                <w:position w:val="0"/>
                <w:sz w:val="20"/>
                <w:szCs w:val="20"/>
              </w:rPr>
            </w:pPr>
            <w:r w:rsidRPr="004F3AB8">
              <w:rPr>
                <w:rFonts w:ascii="Arial" w:hAnsi="Arial" w:cs="Arial"/>
                <w:noProof w:val="0"/>
                <w:position w:val="0"/>
                <w:sz w:val="20"/>
                <w:szCs w:val="20"/>
              </w:rPr>
              <w:t>26.04.2016</w:t>
            </w:r>
          </w:p>
        </w:tc>
      </w:tr>
    </w:tbl>
    <w:p w14:paraId="7C02D94F" w14:textId="77777777" w:rsidR="00523E8C" w:rsidRDefault="00523E8C" w:rsidP="00523E8C">
      <w:pPr>
        <w:widowControl w:val="0"/>
        <w:spacing w:line="276" w:lineRule="auto"/>
        <w:ind w:left="170" w:right="170"/>
        <w:rPr>
          <w:rFonts w:ascii="Arial" w:eastAsiaTheme="minorHAnsi" w:hAnsi="Arial" w:cs="Arial"/>
          <w:b/>
          <w:noProof w:val="0"/>
          <w:color w:val="000000"/>
          <w:position w:val="0"/>
          <w:sz w:val="20"/>
          <w:szCs w:val="20"/>
          <w:u w:val="single"/>
        </w:rPr>
      </w:pPr>
    </w:p>
    <w:p w14:paraId="1457A3E3" w14:textId="77777777" w:rsidR="00523E8C" w:rsidRPr="00AA7493" w:rsidRDefault="00523E8C" w:rsidP="00523E8C">
      <w:pPr>
        <w:rPr>
          <w:rFonts w:ascii="Arial" w:eastAsiaTheme="minorHAnsi" w:hAnsi="Arial" w:cs="Arial"/>
          <w:sz w:val="20"/>
          <w:szCs w:val="20"/>
        </w:rPr>
      </w:pPr>
    </w:p>
    <w:p w14:paraId="0136FC6F" w14:textId="77777777" w:rsidR="00523E8C" w:rsidRPr="00AA7493" w:rsidRDefault="00523E8C" w:rsidP="00523E8C">
      <w:pPr>
        <w:rPr>
          <w:rFonts w:ascii="Arial" w:eastAsiaTheme="minorHAnsi" w:hAnsi="Arial" w:cs="Arial"/>
          <w:sz w:val="20"/>
          <w:szCs w:val="20"/>
        </w:rPr>
      </w:pPr>
    </w:p>
    <w:p w14:paraId="357ECDF2" w14:textId="77777777" w:rsidR="00523E8C" w:rsidRPr="00AA7493" w:rsidRDefault="00523E8C" w:rsidP="00523E8C">
      <w:pPr>
        <w:rPr>
          <w:rFonts w:ascii="Arial" w:eastAsiaTheme="minorHAnsi" w:hAnsi="Arial" w:cs="Arial"/>
          <w:sz w:val="20"/>
          <w:szCs w:val="20"/>
        </w:rPr>
      </w:pPr>
    </w:p>
    <w:p w14:paraId="793C7825"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30C8" w14:textId="77777777" w:rsidR="003D7108" w:rsidRDefault="003D7108" w:rsidP="00523E8C">
      <w:r>
        <w:separator/>
      </w:r>
    </w:p>
  </w:endnote>
  <w:endnote w:type="continuationSeparator" w:id="0">
    <w:p w14:paraId="32CCB068" w14:textId="77777777" w:rsidR="003D7108" w:rsidRDefault="003D7108" w:rsidP="0052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2F0D" w14:textId="2289F282" w:rsidR="00523E8C" w:rsidRPr="00523E8C" w:rsidRDefault="00523E8C" w:rsidP="00523E8C">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28AB" w14:textId="27CEC875" w:rsidR="00523E8C" w:rsidRPr="00523E8C" w:rsidRDefault="00523E8C" w:rsidP="00523E8C">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B851C" w14:textId="18376039" w:rsidR="00523E8C" w:rsidRPr="00523E8C" w:rsidRDefault="00523E8C" w:rsidP="00523E8C">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FA51" w14:textId="77777777" w:rsidR="003D7108" w:rsidRDefault="003D7108" w:rsidP="00523E8C">
      <w:r>
        <w:separator/>
      </w:r>
    </w:p>
  </w:footnote>
  <w:footnote w:type="continuationSeparator" w:id="0">
    <w:p w14:paraId="31D8588E" w14:textId="77777777" w:rsidR="003D7108" w:rsidRDefault="003D7108" w:rsidP="0052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07B7" w14:textId="77777777" w:rsidR="00523E8C" w:rsidRDefault="00523E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67B3" w14:textId="77777777" w:rsidR="00523E8C" w:rsidRDefault="00523E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57BD" w14:textId="77777777" w:rsidR="00523E8C" w:rsidRDefault="00523E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0"/>
    <w:rsid w:val="003D7108"/>
    <w:rsid w:val="00523E8C"/>
    <w:rsid w:val="00A174FE"/>
    <w:rsid w:val="00D90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C214D-4195-4970-9834-823A9DA5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E8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523E8C"/>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23E8C"/>
    <w:rPr>
      <w:rFonts w:ascii="Arial" w:eastAsiaTheme="majorEastAsia" w:hAnsi="Arial" w:cs="Arial"/>
      <w:b/>
      <w:bCs/>
      <w:color w:val="000000"/>
      <w:kern w:val="16"/>
      <w:sz w:val="24"/>
      <w:szCs w:val="24"/>
    </w:rPr>
  </w:style>
  <w:style w:type="table" w:styleId="TabloKlavuzu">
    <w:name w:val="Table Grid"/>
    <w:basedOn w:val="NormalTablo"/>
    <w:uiPriority w:val="59"/>
    <w:rsid w:val="00523E8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23E8C"/>
    <w:pPr>
      <w:tabs>
        <w:tab w:val="center" w:pos="4536"/>
        <w:tab w:val="right" w:pos="9072"/>
      </w:tabs>
    </w:pPr>
  </w:style>
  <w:style w:type="character" w:customStyle="1" w:styleId="stBilgiChar">
    <w:name w:val="Üst Bilgi Char"/>
    <w:basedOn w:val="VarsaylanParagrafYazTipi"/>
    <w:link w:val="stBilgi"/>
    <w:uiPriority w:val="99"/>
    <w:rsid w:val="00523E8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523E8C"/>
    <w:pPr>
      <w:tabs>
        <w:tab w:val="center" w:pos="4536"/>
        <w:tab w:val="right" w:pos="9072"/>
      </w:tabs>
    </w:pPr>
  </w:style>
  <w:style w:type="character" w:customStyle="1" w:styleId="AltBilgiChar">
    <w:name w:val="Alt Bilgi Char"/>
    <w:basedOn w:val="VarsaylanParagrafYazTipi"/>
    <w:link w:val="AltBilgi"/>
    <w:uiPriority w:val="99"/>
    <w:rsid w:val="00523E8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9FFE66B-21D2-4800-922D-8A1390578E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Company>Emeklilik Gozetim Merkezi</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2023-12-21T20:33:00Z</dcterms:created>
  <dcterms:modified xsi:type="dcterms:W3CDTF">2023-12-21T20:33:00Z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f2533aba-62c7-474a-a268-82a53aab051e</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