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CF827" w14:textId="77777777" w:rsidR="00BB2CB8" w:rsidRDefault="00BB2CB8" w:rsidP="00BB2CB8">
      <w:pPr>
        <w:widowControl w:val="0"/>
        <w:autoSpaceDE w:val="0"/>
        <w:autoSpaceDN w:val="0"/>
        <w:adjustRightInd w:val="0"/>
        <w:spacing w:after="0" w:line="240" w:lineRule="auto"/>
        <w:ind w:left="170" w:right="170"/>
        <w:rPr>
          <w:b/>
          <w:bCs/>
          <w:sz w:val="20"/>
          <w:u w:val="single"/>
        </w:rPr>
      </w:pPr>
      <w:r w:rsidRPr="001D7EEF">
        <w:rPr>
          <w:b/>
          <w:bCs/>
          <w:sz w:val="20"/>
          <w:u w:val="single"/>
        </w:rPr>
        <w:t>Resmi Gazete Dışından Kaynak</w:t>
      </w:r>
    </w:p>
    <w:p w14:paraId="4A389D20" w14:textId="176AC54B" w:rsidR="00BB2CB8" w:rsidRPr="000D336E" w:rsidRDefault="00BB2CB8" w:rsidP="00BB2CB8">
      <w:pPr>
        <w:widowControl w:val="0"/>
        <w:autoSpaceDE w:val="0"/>
        <w:autoSpaceDN w:val="0"/>
        <w:adjustRightInd w:val="0"/>
        <w:spacing w:after="0" w:line="240" w:lineRule="auto"/>
        <w:ind w:left="170" w:right="170"/>
        <w:rPr>
          <w:b/>
          <w:bCs/>
          <w:sz w:val="20"/>
          <w:u w:val="single"/>
        </w:rPr>
      </w:pPr>
      <w:r>
        <w:rPr>
          <w:b/>
          <w:bCs/>
          <w:sz w:val="20"/>
          <w:u w:val="single"/>
        </w:rPr>
        <w:t>Sigortacılık ve Özel Emeklilik Düzenleme ve Denetleme Kurumu</w:t>
      </w:r>
      <w:r w:rsidR="000D336E">
        <w:rPr>
          <w:b/>
          <w:bCs/>
          <w:sz w:val="20"/>
        </w:rPr>
        <w:tab/>
      </w:r>
      <w:r w:rsidR="000D336E">
        <w:rPr>
          <w:b/>
          <w:bCs/>
          <w:sz w:val="20"/>
        </w:rPr>
        <w:tab/>
      </w:r>
      <w:r w:rsidR="000D336E">
        <w:rPr>
          <w:b/>
          <w:bCs/>
          <w:sz w:val="20"/>
          <w:u w:val="single"/>
        </w:rPr>
        <w:t>06.09.2021</w:t>
      </w:r>
      <w:bookmarkStart w:id="0" w:name="_GoBack"/>
      <w:bookmarkEnd w:id="0"/>
    </w:p>
    <w:p w14:paraId="7DCC45EE" w14:textId="20A3B991" w:rsidR="00BB2CB8" w:rsidRDefault="00BB2CB8" w:rsidP="00BB2CB8">
      <w:pPr>
        <w:widowControl w:val="0"/>
        <w:autoSpaceDE w:val="0"/>
        <w:autoSpaceDN w:val="0"/>
        <w:adjustRightInd w:val="0"/>
        <w:spacing w:after="0" w:line="240" w:lineRule="auto"/>
        <w:ind w:left="170" w:right="170"/>
        <w:rPr>
          <w:b/>
          <w:bCs/>
          <w:sz w:val="20"/>
          <w:u w:val="single"/>
        </w:rPr>
      </w:pPr>
    </w:p>
    <w:p w14:paraId="4412BE20" w14:textId="464A3018" w:rsidR="00BB2CB8" w:rsidRPr="00BB2CB8" w:rsidRDefault="00BB2CB8" w:rsidP="00BB2CB8">
      <w:pPr>
        <w:pStyle w:val="Balk2"/>
        <w:spacing w:before="0" w:after="0"/>
        <w:jc w:val="center"/>
        <w:rPr>
          <w:sz w:val="24"/>
          <w:szCs w:val="24"/>
        </w:rPr>
      </w:pPr>
      <w:r w:rsidRPr="00BB2CB8">
        <w:rPr>
          <w:sz w:val="24"/>
          <w:szCs w:val="24"/>
        </w:rPr>
        <w:t>Yazışma Kurallarına İlişkin Genelge (2021/15)</w:t>
      </w:r>
    </w:p>
    <w:p w14:paraId="2723D1DA" w14:textId="1A498888" w:rsidR="00BB2CB8" w:rsidRDefault="00BB2CB8" w:rsidP="00BB2CB8">
      <w:pPr>
        <w:widowControl w:val="0"/>
        <w:autoSpaceDE w:val="0"/>
        <w:autoSpaceDN w:val="0"/>
        <w:adjustRightInd w:val="0"/>
        <w:spacing w:after="0"/>
        <w:ind w:left="170" w:right="170"/>
        <w:rPr>
          <w:b/>
          <w:bCs/>
          <w:sz w:val="24"/>
          <w:szCs w:val="24"/>
        </w:rPr>
      </w:pPr>
    </w:p>
    <w:p w14:paraId="120777A4" w14:textId="77777777" w:rsidR="00BB2CB8" w:rsidRDefault="00BB2CB8" w:rsidP="00BB2CB8">
      <w:pPr>
        <w:widowControl w:val="0"/>
        <w:autoSpaceDE w:val="0"/>
        <w:autoSpaceDN w:val="0"/>
        <w:adjustRightInd w:val="0"/>
        <w:spacing w:after="0"/>
        <w:ind w:left="170" w:right="170"/>
        <w:rPr>
          <w:b/>
          <w:bCs/>
          <w:sz w:val="24"/>
          <w:szCs w:val="24"/>
        </w:rPr>
      </w:pPr>
    </w:p>
    <w:p w14:paraId="0E9D073A" w14:textId="77777777" w:rsidR="00BB2CB8" w:rsidRPr="00BB2CB8" w:rsidRDefault="00BB2CB8" w:rsidP="00BB2CB8">
      <w:pPr>
        <w:spacing w:after="0"/>
        <w:ind w:left="170"/>
        <w:rPr>
          <w:rFonts w:eastAsia="ヒラギノ明朝 Pro W3"/>
          <w:sz w:val="20"/>
        </w:rPr>
      </w:pPr>
      <w:r w:rsidRPr="00BB2CB8">
        <w:rPr>
          <w:rFonts w:eastAsia="ヒラギノ明朝 Pro W3"/>
          <w:sz w:val="20"/>
        </w:rPr>
        <w:t>Sigorta şirketleri, reasürans şirketleri, Türkiye Sigorta, Reasürans ve Emeklilik Şirketleri Birliği, sigortacılık yapan diğer kuruluşlar, aracılar, aktüerler ile sigorta eksperlerinin Kurumumuzu muhatap tüm yazılarında aşağıda belirtilen kurallara uymaları gerekmektedir. Bu kurallara uymayan yazılar değerlendirmeye alınmayacaktır.</w:t>
      </w:r>
    </w:p>
    <w:p w14:paraId="392AF70A" w14:textId="77777777" w:rsidR="00BB2CB8" w:rsidRPr="00BB2CB8" w:rsidRDefault="00BB2CB8" w:rsidP="00BB2CB8">
      <w:pPr>
        <w:spacing w:after="0"/>
        <w:ind w:left="170"/>
        <w:rPr>
          <w:rFonts w:eastAsia="ヒラギノ明朝 Pro W3"/>
          <w:sz w:val="20"/>
        </w:rPr>
      </w:pPr>
      <w:r w:rsidRPr="00BB2CB8">
        <w:rPr>
          <w:rFonts w:eastAsia="ヒラギノ明朝 Pro W3"/>
          <w:sz w:val="20"/>
        </w:rPr>
        <w:t>(1) Sigorta şirketleri, reasürans şirketleri, emeklilik şirketleri, bankalarca (bankalar tarafından Sigortacılık Mevzuatı çerçevesinde tesis edilen “teminatlar" kapsamında yapılan yazışmalar hariç) gönderilen Kurumumuzu muhatap tüm yazıların iki imza ile gönderilmesi ve imzalardan en az birinin Genel Müdür veya Genel Müdür yardımcısına yahut yetki ve görevleri itibarıyla bunlara denk kişilere ait olması gerekmektedir.</w:t>
      </w:r>
    </w:p>
    <w:p w14:paraId="40541299" w14:textId="77777777" w:rsidR="00BB2CB8" w:rsidRPr="00BB2CB8" w:rsidRDefault="00BB2CB8" w:rsidP="00BB2CB8">
      <w:pPr>
        <w:spacing w:after="0"/>
        <w:ind w:left="170"/>
        <w:rPr>
          <w:rFonts w:eastAsia="ヒラギノ明朝 Pro W3"/>
          <w:sz w:val="20"/>
        </w:rPr>
      </w:pPr>
      <w:r w:rsidRPr="00BB2CB8">
        <w:rPr>
          <w:rFonts w:eastAsia="ヒラギノ明朝 Pro W3"/>
          <w:sz w:val="20"/>
        </w:rPr>
        <w:t>(2) Birlik tarafından gönderilen Kurumumuzu muhatap yazıların iki imzalı ve imzalardan en az birinin Birlik Yönetim Kurulu Başkanı veya Birlik Yönetim Kurulu üyesine ait olması gerekmektedir.</w:t>
      </w:r>
    </w:p>
    <w:p w14:paraId="745A5ADC" w14:textId="77777777" w:rsidR="00BB2CB8" w:rsidRPr="00BB2CB8" w:rsidRDefault="00BB2CB8" w:rsidP="00BB2CB8">
      <w:pPr>
        <w:spacing w:after="0"/>
        <w:ind w:left="170"/>
        <w:rPr>
          <w:rFonts w:eastAsia="ヒラギノ明朝 Pro W3"/>
          <w:sz w:val="20"/>
        </w:rPr>
      </w:pPr>
      <w:r w:rsidRPr="00BB2CB8">
        <w:rPr>
          <w:rFonts w:eastAsia="ヒラギノ明朝 Pro W3"/>
          <w:sz w:val="20"/>
        </w:rPr>
        <w:t>(3) Türkiye Odalar ve Borsalar Birliği (TOBB) tarafından gönderilen Kurumumuzu muhatap yazıların iki imza ile gönderilmesi ve imzalardan birinin en az Genel Sekreter veya Genel Sekreter Yardımcısına ait olması; TOBB bünyesinde yer alan Komiteler ile sektörde faaliyet gösteren demek, vakıf ve sendikalardan gönderilen Kurumumuzu muhatap yazıların iki imza ile gönderilmesi ve imzalardan en az birinin Başkan veya Genel Müdür yardımcısına yahut yetki ve görevleri itibarıyla bunlara denk kişilere ait olması gerekmektedir.</w:t>
      </w:r>
    </w:p>
    <w:p w14:paraId="495C9D9C" w14:textId="77777777" w:rsidR="00BB2CB8" w:rsidRPr="00BB2CB8" w:rsidRDefault="00BB2CB8" w:rsidP="00BB2CB8">
      <w:pPr>
        <w:spacing w:after="0"/>
        <w:ind w:left="170"/>
        <w:rPr>
          <w:rFonts w:eastAsia="ヒラギノ明朝 Pro W3"/>
          <w:sz w:val="20"/>
        </w:rPr>
      </w:pPr>
      <w:r w:rsidRPr="00BB2CB8">
        <w:rPr>
          <w:rFonts w:eastAsia="ヒラギノ明朝 Pro W3"/>
          <w:sz w:val="20"/>
        </w:rPr>
        <w:t>(4) Kendi özel kanunlarına göre sigorta veya reasürans sözleşmesi yapan kurum ve kuruluşlar tarafından gönderilen Kurumumuzu muhatap yazıların iki imza ile gönderilmesi imzalardan en az birinin Genel Müdür veya Genel Müdür Yardımcısına yahut yetki ve görevleri itibarıyla bunlara denk kişilere ait olması gerekmektedir.</w:t>
      </w:r>
    </w:p>
    <w:p w14:paraId="011754E6" w14:textId="77777777" w:rsidR="00BB2CB8" w:rsidRPr="00BB2CB8" w:rsidRDefault="00BB2CB8" w:rsidP="00BB2CB8">
      <w:pPr>
        <w:spacing w:after="0"/>
        <w:ind w:left="170"/>
        <w:rPr>
          <w:rFonts w:eastAsia="ヒラギノ明朝 Pro W3"/>
          <w:sz w:val="20"/>
        </w:rPr>
      </w:pPr>
      <w:r w:rsidRPr="00BB2CB8">
        <w:rPr>
          <w:rFonts w:eastAsia="ヒラギノ明朝 Pro W3"/>
          <w:sz w:val="20"/>
        </w:rPr>
        <w:t>(5) Tüzel kişi sigorta ve reasürans brokerlerinin Kurumumuzu muhatap yazılarında tek imza durumunda bu imzanın, birden fazla imza durumunda ise imzalardan en az birinin sigorta brokerini sigorta işlemleri bakımından temsil ve ilzama yetkili yönetici olarak Genel Müdür, Müdür ya da yardımcısına ait olması gerekmektedir. Gerçek kişi brokerler ise yazıları kendileri imzalamak zorundadır.</w:t>
      </w:r>
    </w:p>
    <w:p w14:paraId="7720AC41" w14:textId="77777777" w:rsidR="00BB2CB8" w:rsidRPr="00BB2CB8" w:rsidRDefault="00BB2CB8" w:rsidP="00BB2CB8">
      <w:pPr>
        <w:spacing w:after="0"/>
        <w:ind w:left="170"/>
        <w:rPr>
          <w:rFonts w:eastAsia="ヒラギノ明朝 Pro W3"/>
          <w:sz w:val="20"/>
        </w:rPr>
      </w:pPr>
      <w:r w:rsidRPr="00BB2CB8">
        <w:rPr>
          <w:rFonts w:eastAsia="ヒラギノ明朝 Pro W3"/>
          <w:sz w:val="20"/>
        </w:rPr>
        <w:t>(6) Sigorta acentelerinin Kurumumuzu muhatap yazılarında yer alan imzaların, gerçek kişi acentelerde gerçek kişi acenteye; tüzel kişi acentelerde ise acente müdürüne veya bu unvanı taşımasa bile fiilen bu görevi yerine getiren kişiye ait olması gerekmektedir.</w:t>
      </w:r>
    </w:p>
    <w:p w14:paraId="3B7D3C5D" w14:textId="77777777" w:rsidR="00BB2CB8" w:rsidRPr="00BB2CB8" w:rsidRDefault="00BB2CB8" w:rsidP="00BB2CB8">
      <w:pPr>
        <w:spacing w:after="0"/>
        <w:ind w:left="170"/>
        <w:rPr>
          <w:rFonts w:eastAsia="ヒラギノ明朝 Pro W3"/>
          <w:sz w:val="20"/>
        </w:rPr>
      </w:pPr>
      <w:r w:rsidRPr="00BB2CB8">
        <w:rPr>
          <w:rFonts w:eastAsia="ヒラギノ明朝 Pro W3"/>
          <w:sz w:val="20"/>
        </w:rPr>
        <w:t>(7) Sigorta eksperlerinin Kurumumuzu muhatap yazılarında yer alan gerçek kişi sigorta eksperlerinde gerçek kişi sigorta eksperlerine, tüzel kişi eksperler ise mesleki faaliyetlerde şirketi imzası ile temsil ve ilzam eden ve eksper olması zorunlu olan şirket yetkililerinden birine ait olması gerekmektedir.</w:t>
      </w:r>
    </w:p>
    <w:p w14:paraId="4E819FD0" w14:textId="77777777" w:rsidR="00BB2CB8" w:rsidRPr="00BB2CB8" w:rsidRDefault="00BB2CB8" w:rsidP="00BB2CB8">
      <w:pPr>
        <w:spacing w:after="0"/>
        <w:ind w:left="170"/>
        <w:rPr>
          <w:rFonts w:eastAsia="ヒラギノ明朝 Pro W3"/>
          <w:sz w:val="20"/>
        </w:rPr>
      </w:pPr>
      <w:r w:rsidRPr="00BB2CB8">
        <w:rPr>
          <w:rFonts w:eastAsia="ヒラギノ明朝 Pro W3"/>
          <w:sz w:val="20"/>
        </w:rPr>
        <w:t>(8) Yazılarda imzası bulunan kişilerin ad ve unvanlarının belirtilmesi gerekmektedir.</w:t>
      </w:r>
    </w:p>
    <w:p w14:paraId="5DDCDB35" w14:textId="77777777" w:rsidR="00BB2CB8" w:rsidRPr="00BB2CB8" w:rsidRDefault="00BB2CB8" w:rsidP="00BB2CB8">
      <w:pPr>
        <w:spacing w:after="0"/>
        <w:ind w:left="170"/>
        <w:rPr>
          <w:rFonts w:eastAsia="ヒラギノ明朝 Pro W3"/>
          <w:sz w:val="20"/>
        </w:rPr>
      </w:pPr>
      <w:r w:rsidRPr="00BB2CB8">
        <w:rPr>
          <w:rFonts w:eastAsia="ヒラギノ明朝 Pro W3"/>
          <w:sz w:val="20"/>
        </w:rPr>
        <w:t>(9) Yazıların, Kuruma hitaben gönderilmesi gerekmektedir.</w:t>
      </w:r>
    </w:p>
    <w:p w14:paraId="7CD268A0" w14:textId="77777777" w:rsidR="00BB2CB8" w:rsidRPr="00BB2CB8" w:rsidRDefault="00BB2CB8" w:rsidP="00BB2CB8">
      <w:pPr>
        <w:spacing w:after="0"/>
        <w:ind w:left="170"/>
        <w:rPr>
          <w:rFonts w:eastAsia="ヒラギノ明朝 Pro W3"/>
          <w:sz w:val="20"/>
        </w:rPr>
      </w:pPr>
      <w:r w:rsidRPr="00BB2CB8">
        <w:rPr>
          <w:rFonts w:eastAsia="ヒラギノ明朝 Pro W3"/>
          <w:sz w:val="20"/>
        </w:rPr>
        <w:t>(10) Kurumumuzun denetim ile görevli Sigortacılık Uzman ve Uzman Yardımcıları tarafından yürütülen denetim faaliyeti kapsamında doğrudan muhataplarına iletilen yazıların cevabi yazılarının, ilgili Uzman veya Uzman Yardımcısının da adı ve unvanı belirtilmek suretiyle, Kurum Başkanlığına hitaben gönderilmesi gerekmektedir.</w:t>
      </w:r>
    </w:p>
    <w:p w14:paraId="2F04C34D" w14:textId="77777777" w:rsidR="00BB2CB8" w:rsidRPr="00BB2CB8" w:rsidRDefault="00BB2CB8" w:rsidP="00BB2CB8">
      <w:pPr>
        <w:spacing w:after="0"/>
        <w:ind w:left="170"/>
        <w:rPr>
          <w:rFonts w:eastAsia="ヒラギノ明朝 Pro W3"/>
          <w:sz w:val="20"/>
        </w:rPr>
      </w:pPr>
      <w:r w:rsidRPr="00BB2CB8">
        <w:rPr>
          <w:rFonts w:eastAsia="ヒラギノ明朝 Pro W3"/>
          <w:sz w:val="20"/>
        </w:rPr>
        <w:t>(11) 2014/11 sayılı Yazışma Kurallarına İlişkin Genelge yürürlükten kaldırılmıştır.</w:t>
      </w:r>
    </w:p>
    <w:p w14:paraId="64C54081" w14:textId="77777777" w:rsidR="00BB2CB8" w:rsidRPr="00BB2CB8" w:rsidRDefault="00BB2CB8" w:rsidP="00BB2CB8">
      <w:pPr>
        <w:spacing w:after="0"/>
        <w:ind w:left="170"/>
        <w:rPr>
          <w:rFonts w:eastAsia="ヒラギノ明朝 Pro W3"/>
          <w:sz w:val="20"/>
        </w:rPr>
      </w:pPr>
      <w:r w:rsidRPr="00BB2CB8">
        <w:rPr>
          <w:rFonts w:eastAsia="ヒラギノ明朝 Pro W3"/>
          <w:sz w:val="20"/>
        </w:rPr>
        <w:t>(12) Bu genelge onay tarihinde yürürlüğe girer.</w:t>
      </w:r>
    </w:p>
    <w:p w14:paraId="539FC488" w14:textId="77777777" w:rsidR="00BB2CB8" w:rsidRPr="00BB2CB8" w:rsidRDefault="00BB2CB8" w:rsidP="00BB2CB8">
      <w:pPr>
        <w:widowControl w:val="0"/>
        <w:autoSpaceDE w:val="0"/>
        <w:autoSpaceDN w:val="0"/>
        <w:adjustRightInd w:val="0"/>
        <w:spacing w:after="0" w:line="240" w:lineRule="auto"/>
        <w:ind w:left="170" w:right="170"/>
        <w:rPr>
          <w:b/>
          <w:bCs/>
          <w:sz w:val="24"/>
          <w:szCs w:val="24"/>
        </w:rPr>
      </w:pPr>
    </w:p>
    <w:tbl>
      <w:tblPr>
        <w:tblStyle w:val="TabloKlavuzu"/>
        <w:tblW w:w="0" w:type="auto"/>
        <w:tblInd w:w="0" w:type="dxa"/>
        <w:tblLook w:val="04A0" w:firstRow="1" w:lastRow="0" w:firstColumn="1" w:lastColumn="0" w:noHBand="0" w:noVBand="1"/>
      </w:tblPr>
      <w:tblGrid>
        <w:gridCol w:w="3016"/>
        <w:gridCol w:w="3020"/>
        <w:gridCol w:w="3020"/>
      </w:tblGrid>
      <w:tr w:rsidR="00BB2CB8" w:rsidRPr="001D7EEF" w14:paraId="4A601C63" w14:textId="77777777" w:rsidTr="00EB6CE5">
        <w:tc>
          <w:tcPr>
            <w:tcW w:w="9224" w:type="dxa"/>
            <w:gridSpan w:val="3"/>
          </w:tcPr>
          <w:p w14:paraId="29A56D55" w14:textId="77777777" w:rsidR="00BB2CB8" w:rsidRPr="005F438C" w:rsidRDefault="00BB2CB8" w:rsidP="00EB6CE5">
            <w:pPr>
              <w:jc w:val="center"/>
              <w:rPr>
                <w:b/>
                <w:sz w:val="20"/>
              </w:rPr>
            </w:pPr>
            <w:r w:rsidRPr="005F438C">
              <w:rPr>
                <w:b/>
                <w:sz w:val="20"/>
              </w:rPr>
              <w:t>Genelge’nin</w:t>
            </w:r>
          </w:p>
        </w:tc>
      </w:tr>
      <w:tr w:rsidR="00BB2CB8" w:rsidRPr="001D7EEF" w14:paraId="70F53EB7" w14:textId="77777777" w:rsidTr="00EB6CE5">
        <w:tc>
          <w:tcPr>
            <w:tcW w:w="3074" w:type="dxa"/>
          </w:tcPr>
          <w:p w14:paraId="642DD8E1" w14:textId="77777777" w:rsidR="00BB2CB8" w:rsidRPr="005F438C" w:rsidRDefault="00BB2CB8" w:rsidP="00EB6CE5">
            <w:pPr>
              <w:jc w:val="center"/>
              <w:rPr>
                <w:b/>
                <w:sz w:val="20"/>
              </w:rPr>
            </w:pPr>
            <w:r w:rsidRPr="005F438C">
              <w:rPr>
                <w:b/>
                <w:sz w:val="20"/>
              </w:rPr>
              <w:t>Numarası</w:t>
            </w:r>
          </w:p>
        </w:tc>
        <w:tc>
          <w:tcPr>
            <w:tcW w:w="3075" w:type="dxa"/>
          </w:tcPr>
          <w:p w14:paraId="4DE6248D" w14:textId="77777777" w:rsidR="00BB2CB8" w:rsidRPr="005F438C" w:rsidRDefault="00BB2CB8" w:rsidP="00EB6CE5">
            <w:pPr>
              <w:jc w:val="center"/>
              <w:rPr>
                <w:b/>
                <w:sz w:val="20"/>
              </w:rPr>
            </w:pPr>
            <w:r w:rsidRPr="005F438C">
              <w:rPr>
                <w:b/>
                <w:sz w:val="20"/>
              </w:rPr>
              <w:t>Kabul Tarihi</w:t>
            </w:r>
          </w:p>
        </w:tc>
        <w:tc>
          <w:tcPr>
            <w:tcW w:w="3075" w:type="dxa"/>
          </w:tcPr>
          <w:p w14:paraId="111515E2" w14:textId="77777777" w:rsidR="00BB2CB8" w:rsidRPr="005F438C" w:rsidRDefault="00BB2CB8" w:rsidP="00EB6CE5">
            <w:pPr>
              <w:jc w:val="center"/>
              <w:rPr>
                <w:b/>
                <w:sz w:val="20"/>
              </w:rPr>
            </w:pPr>
            <w:r w:rsidRPr="005F438C">
              <w:rPr>
                <w:b/>
                <w:sz w:val="20"/>
              </w:rPr>
              <w:t>Yürürlüğe Giriş Tarihi</w:t>
            </w:r>
          </w:p>
        </w:tc>
      </w:tr>
      <w:tr w:rsidR="00BB2CB8" w14:paraId="2E246F74" w14:textId="77777777" w:rsidTr="00EB6CE5">
        <w:tc>
          <w:tcPr>
            <w:tcW w:w="3074" w:type="dxa"/>
          </w:tcPr>
          <w:p w14:paraId="0B73D47D" w14:textId="546B8D7D" w:rsidR="00BB2CB8" w:rsidRPr="005F438C" w:rsidRDefault="00BB2CB8" w:rsidP="00EB6CE5">
            <w:pPr>
              <w:jc w:val="center"/>
              <w:rPr>
                <w:sz w:val="20"/>
              </w:rPr>
            </w:pPr>
            <w:r w:rsidRPr="005F438C">
              <w:rPr>
                <w:sz w:val="20"/>
              </w:rPr>
              <w:lastRenderedPageBreak/>
              <w:t>20</w:t>
            </w:r>
            <w:r>
              <w:rPr>
                <w:sz w:val="20"/>
              </w:rPr>
              <w:t>2</w:t>
            </w:r>
            <w:r w:rsidRPr="005F438C">
              <w:rPr>
                <w:sz w:val="20"/>
              </w:rPr>
              <w:t>1/</w:t>
            </w:r>
            <w:r>
              <w:rPr>
                <w:sz w:val="20"/>
              </w:rPr>
              <w:t>1</w:t>
            </w:r>
            <w:r w:rsidRPr="005F438C">
              <w:rPr>
                <w:sz w:val="20"/>
              </w:rPr>
              <w:t>5</w:t>
            </w:r>
          </w:p>
        </w:tc>
        <w:tc>
          <w:tcPr>
            <w:tcW w:w="3075" w:type="dxa"/>
          </w:tcPr>
          <w:p w14:paraId="75AB895D" w14:textId="5BC49336" w:rsidR="00BB2CB8" w:rsidRPr="005F438C" w:rsidRDefault="00BB2CB8" w:rsidP="00EB6CE5">
            <w:pPr>
              <w:jc w:val="center"/>
              <w:rPr>
                <w:sz w:val="20"/>
              </w:rPr>
            </w:pPr>
            <w:r w:rsidRPr="005F438C">
              <w:rPr>
                <w:sz w:val="20"/>
              </w:rPr>
              <w:t>06.</w:t>
            </w:r>
            <w:r>
              <w:rPr>
                <w:sz w:val="20"/>
              </w:rPr>
              <w:t>09.</w:t>
            </w:r>
            <w:r w:rsidRPr="005F438C">
              <w:rPr>
                <w:sz w:val="20"/>
              </w:rPr>
              <w:t>20</w:t>
            </w:r>
            <w:r>
              <w:rPr>
                <w:sz w:val="20"/>
              </w:rPr>
              <w:t>21</w:t>
            </w:r>
          </w:p>
        </w:tc>
        <w:tc>
          <w:tcPr>
            <w:tcW w:w="3075" w:type="dxa"/>
          </w:tcPr>
          <w:p w14:paraId="50C19957" w14:textId="5A366B0C" w:rsidR="00BB2CB8" w:rsidRPr="005F438C" w:rsidRDefault="00BB2CB8" w:rsidP="00EB6CE5">
            <w:pPr>
              <w:jc w:val="center"/>
              <w:rPr>
                <w:sz w:val="20"/>
              </w:rPr>
            </w:pPr>
            <w:r w:rsidRPr="005F438C">
              <w:rPr>
                <w:sz w:val="20"/>
              </w:rPr>
              <w:t>06.</w:t>
            </w:r>
            <w:r>
              <w:rPr>
                <w:sz w:val="20"/>
              </w:rPr>
              <w:t>09.</w:t>
            </w:r>
            <w:r w:rsidRPr="005F438C">
              <w:rPr>
                <w:sz w:val="20"/>
              </w:rPr>
              <w:t>20</w:t>
            </w:r>
            <w:r>
              <w:rPr>
                <w:sz w:val="20"/>
              </w:rPr>
              <w:t>21</w:t>
            </w:r>
          </w:p>
        </w:tc>
      </w:tr>
    </w:tbl>
    <w:p w14:paraId="4768B213"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3BFE9" w14:textId="77777777" w:rsidR="00F73177" w:rsidRDefault="00F73177" w:rsidP="00BB2CB8">
      <w:pPr>
        <w:spacing w:after="0" w:line="240" w:lineRule="auto"/>
      </w:pPr>
      <w:r>
        <w:separator/>
      </w:r>
    </w:p>
  </w:endnote>
  <w:endnote w:type="continuationSeparator" w:id="0">
    <w:p w14:paraId="753B78B7" w14:textId="77777777" w:rsidR="00F73177" w:rsidRDefault="00F73177" w:rsidP="00BB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A30A" w14:textId="507E13E0" w:rsidR="00BB2CB8" w:rsidRPr="000D336E" w:rsidRDefault="000D336E" w:rsidP="000D336E">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9691" w14:textId="18434576" w:rsidR="00BB2CB8" w:rsidRPr="000D336E" w:rsidRDefault="000D336E" w:rsidP="000D336E">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F693" w14:textId="2C856535" w:rsidR="00BB2CB8" w:rsidRPr="000D336E" w:rsidRDefault="000D336E" w:rsidP="000D336E">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0659D" w14:textId="77777777" w:rsidR="00F73177" w:rsidRDefault="00F73177" w:rsidP="00BB2CB8">
      <w:pPr>
        <w:spacing w:after="0" w:line="240" w:lineRule="auto"/>
      </w:pPr>
      <w:r>
        <w:separator/>
      </w:r>
    </w:p>
  </w:footnote>
  <w:footnote w:type="continuationSeparator" w:id="0">
    <w:p w14:paraId="42EDB348" w14:textId="77777777" w:rsidR="00F73177" w:rsidRDefault="00F73177" w:rsidP="00BB2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7688" w14:textId="77777777" w:rsidR="00BB2CB8" w:rsidRDefault="00BB2CB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B727" w14:textId="77777777" w:rsidR="00BB2CB8" w:rsidRDefault="00BB2CB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13A71" w14:textId="77777777" w:rsidR="00BB2CB8" w:rsidRDefault="00BB2CB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75"/>
    <w:rsid w:val="000D336E"/>
    <w:rsid w:val="002051EA"/>
    <w:rsid w:val="005D3480"/>
    <w:rsid w:val="00846F75"/>
    <w:rsid w:val="00860A9D"/>
    <w:rsid w:val="00A174FE"/>
    <w:rsid w:val="00BB2CB8"/>
    <w:rsid w:val="00F731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0ADDD"/>
  <w15:chartTrackingRefBased/>
  <w15:docId w15:val="{019FCC8C-A457-4541-9F50-EE732697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CB8"/>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BB2CB8"/>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ticle-paragraph">
    <w:name w:val="article-paragraph"/>
    <w:basedOn w:val="Normal"/>
    <w:rsid w:val="00BB2CB8"/>
    <w:pPr>
      <w:spacing w:before="100" w:beforeAutospacing="1" w:after="100" w:afterAutospacing="1" w:line="240" w:lineRule="auto"/>
    </w:pPr>
    <w:rPr>
      <w:rFonts w:ascii="Times New Roman" w:hAnsi="Times New Roman" w:cs="Times New Roman"/>
      <w:sz w:val="24"/>
      <w:szCs w:val="24"/>
    </w:rPr>
  </w:style>
  <w:style w:type="character" w:customStyle="1" w:styleId="highlighted">
    <w:name w:val="highlighted"/>
    <w:basedOn w:val="VarsaylanParagrafYazTipi"/>
    <w:rsid w:val="00BB2CB8"/>
  </w:style>
  <w:style w:type="character" w:customStyle="1" w:styleId="Balk2Char">
    <w:name w:val="Başlık 2 Char"/>
    <w:basedOn w:val="VarsaylanParagrafYazTipi"/>
    <w:link w:val="Balk2"/>
    <w:uiPriority w:val="9"/>
    <w:rsid w:val="00BB2CB8"/>
    <w:rPr>
      <w:rFonts w:ascii="Arial" w:eastAsia="Times New Roman" w:hAnsi="Arial" w:cs="Arial"/>
      <w:b/>
      <w:sz w:val="36"/>
      <w:szCs w:val="20"/>
      <w:lang w:eastAsia="tr-TR"/>
    </w:rPr>
  </w:style>
  <w:style w:type="table" w:styleId="TabloKlavuzu">
    <w:name w:val="Table Grid"/>
    <w:basedOn w:val="NormalTablo"/>
    <w:uiPriority w:val="39"/>
    <w:rsid w:val="00BB2CB8"/>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BB2C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2CB8"/>
    <w:rPr>
      <w:rFonts w:ascii="Arial" w:eastAsia="Times New Roman" w:hAnsi="Arial" w:cs="Arial"/>
      <w:szCs w:val="20"/>
      <w:lang w:eastAsia="tr-TR"/>
    </w:rPr>
  </w:style>
  <w:style w:type="paragraph" w:styleId="AltBilgi">
    <w:name w:val="footer"/>
    <w:basedOn w:val="Normal"/>
    <w:link w:val="AltBilgiChar"/>
    <w:uiPriority w:val="99"/>
    <w:unhideWhenUsed/>
    <w:rsid w:val="00BB2C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2CB8"/>
    <w:rPr>
      <w:rFonts w:ascii="Arial" w:eastAsia="Times New Roman" w:hAnsi="Arial" w:cs="Arial"/>
      <w:szCs w:val="20"/>
      <w:lang w:eastAsia="tr-TR"/>
    </w:rPr>
  </w:style>
  <w:style w:type="character" w:customStyle="1" w:styleId="document-info-data">
    <w:name w:val="document-info-data"/>
    <w:rsid w:val="000D3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8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791FA414-72EA-4C73-8A81-40A78F3757C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3052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cp:lastPrinted>2023-08-08T13:34:00Z</cp:lastPrinted>
  <dcterms:created xsi:type="dcterms:W3CDTF">2023-06-16T12:12:00Z</dcterms:created>
  <dcterms:modified xsi:type="dcterms:W3CDTF">2023-08-08T13:34:00Z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32196475-9d37-40a9-b558-f8311ad8bc45</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