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802C4" w14:textId="3B7EE053" w:rsidR="00807280" w:rsidRDefault="00807280" w:rsidP="00807280">
      <w:pPr>
        <w:spacing w:line="276" w:lineRule="auto"/>
        <w:rPr>
          <w:rFonts w:ascii="Arial" w:hAnsi="Arial" w:cs="Arial"/>
          <w:b/>
          <w:noProof w:val="0"/>
          <w:kern w:val="0"/>
          <w:position w:val="0"/>
          <w:sz w:val="20"/>
          <w:szCs w:val="20"/>
          <w:lang w:eastAsia="tr-TR"/>
        </w:rPr>
      </w:pPr>
      <w:bookmarkStart w:id="0" w:name="_Toc105418631"/>
      <w:r>
        <w:rPr>
          <w:rFonts w:ascii="Arial" w:hAnsi="Arial" w:cs="Arial"/>
          <w:b/>
          <w:noProof w:val="0"/>
          <w:kern w:val="0"/>
          <w:position w:val="0"/>
          <w:sz w:val="20"/>
          <w:szCs w:val="20"/>
          <w:lang w:eastAsia="tr-TR"/>
        </w:rPr>
        <w:t>Resmi G</w:t>
      </w:r>
      <w:bookmarkStart w:id="1" w:name="_GoBack"/>
      <w:bookmarkEnd w:id="1"/>
      <w:r>
        <w:rPr>
          <w:rFonts w:ascii="Arial" w:hAnsi="Arial" w:cs="Arial"/>
          <w:b/>
          <w:noProof w:val="0"/>
          <w:kern w:val="0"/>
          <w:position w:val="0"/>
          <w:sz w:val="20"/>
          <w:szCs w:val="20"/>
          <w:lang w:eastAsia="tr-TR"/>
        </w:rPr>
        <w:t xml:space="preserve">azete No: </w:t>
      </w:r>
      <w:r>
        <w:rPr>
          <w:rFonts w:ascii="Arial" w:hAnsi="Arial" w:cs="Arial"/>
          <w:noProof w:val="0"/>
          <w:kern w:val="0"/>
          <w:position w:val="0"/>
          <w:sz w:val="20"/>
          <w:szCs w:val="20"/>
          <w:lang w:eastAsia="tr-TR"/>
        </w:rPr>
        <w:t>3</w:t>
      </w:r>
      <w:r>
        <w:rPr>
          <w:rFonts w:ascii="Arial" w:hAnsi="Arial" w:cs="Arial"/>
          <w:noProof w:val="0"/>
          <w:kern w:val="0"/>
          <w:position w:val="0"/>
          <w:sz w:val="20"/>
          <w:szCs w:val="20"/>
          <w:lang w:eastAsia="tr-TR"/>
        </w:rPr>
        <w:t>1058</w:t>
      </w:r>
    </w:p>
    <w:p w14:paraId="4ABEF5AA" w14:textId="689F54DD" w:rsidR="00807280" w:rsidRDefault="00807280" w:rsidP="00807280">
      <w:pPr>
        <w:spacing w:line="276" w:lineRule="auto"/>
        <w:rPr>
          <w:rFonts w:ascii="Arial" w:hAnsi="Arial" w:cs="Arial"/>
          <w:b/>
          <w:noProof w:val="0"/>
          <w:kern w:val="0"/>
          <w:position w:val="0"/>
          <w:sz w:val="20"/>
          <w:szCs w:val="20"/>
          <w:lang w:eastAsia="tr-TR"/>
        </w:rPr>
      </w:pPr>
      <w:r>
        <w:rPr>
          <w:rFonts w:ascii="Arial" w:hAnsi="Arial" w:cs="Arial"/>
          <w:b/>
          <w:noProof w:val="0"/>
          <w:kern w:val="0"/>
          <w:position w:val="0"/>
          <w:sz w:val="20"/>
          <w:szCs w:val="20"/>
          <w:lang w:eastAsia="tr-TR"/>
        </w:rPr>
        <w:t xml:space="preserve">Resmi Gazete Tarihi: </w:t>
      </w:r>
      <w:r>
        <w:rPr>
          <w:rFonts w:ascii="Arial" w:hAnsi="Arial" w:cs="Arial"/>
          <w:noProof w:val="0"/>
          <w:kern w:val="0"/>
          <w:position w:val="0"/>
          <w:sz w:val="20"/>
          <w:szCs w:val="20"/>
          <w:lang w:eastAsia="tr-TR"/>
        </w:rPr>
        <w:t>04</w:t>
      </w:r>
      <w:r w:rsidRPr="005534CA">
        <w:rPr>
          <w:rFonts w:ascii="Arial" w:hAnsi="Arial" w:cs="Arial"/>
          <w:noProof w:val="0"/>
          <w:kern w:val="0"/>
          <w:position w:val="0"/>
          <w:sz w:val="20"/>
          <w:szCs w:val="20"/>
          <w:lang w:eastAsia="tr-TR"/>
        </w:rPr>
        <w:t xml:space="preserve"> </w:t>
      </w:r>
      <w:r>
        <w:rPr>
          <w:rFonts w:ascii="Arial" w:hAnsi="Arial" w:cs="Arial"/>
          <w:noProof w:val="0"/>
          <w:kern w:val="0"/>
          <w:position w:val="0"/>
          <w:sz w:val="20"/>
          <w:szCs w:val="20"/>
          <w:lang w:eastAsia="tr-TR"/>
        </w:rPr>
        <w:t>Mart</w:t>
      </w:r>
      <w:r w:rsidRPr="005534CA">
        <w:rPr>
          <w:rFonts w:ascii="Arial" w:hAnsi="Arial" w:cs="Arial"/>
          <w:noProof w:val="0"/>
          <w:kern w:val="0"/>
          <w:position w:val="0"/>
          <w:sz w:val="20"/>
          <w:szCs w:val="20"/>
          <w:lang w:eastAsia="tr-TR"/>
        </w:rPr>
        <w:t xml:space="preserve"> 20</w:t>
      </w:r>
      <w:r>
        <w:rPr>
          <w:rFonts w:ascii="Arial" w:hAnsi="Arial" w:cs="Arial"/>
          <w:noProof w:val="0"/>
          <w:kern w:val="0"/>
          <w:position w:val="0"/>
          <w:sz w:val="20"/>
          <w:szCs w:val="20"/>
          <w:lang w:eastAsia="tr-TR"/>
        </w:rPr>
        <w:t>20</w:t>
      </w:r>
      <w:r w:rsidRPr="005534CA">
        <w:rPr>
          <w:rFonts w:ascii="Arial" w:hAnsi="Arial" w:cs="Arial"/>
          <w:noProof w:val="0"/>
          <w:kern w:val="0"/>
          <w:position w:val="0"/>
          <w:sz w:val="20"/>
          <w:szCs w:val="20"/>
          <w:lang w:eastAsia="tr-TR"/>
        </w:rPr>
        <w:t xml:space="preserve"> </w:t>
      </w:r>
      <w:r>
        <w:rPr>
          <w:rFonts w:ascii="Arial" w:hAnsi="Arial" w:cs="Arial"/>
          <w:noProof w:val="0"/>
          <w:kern w:val="0"/>
          <w:position w:val="0"/>
          <w:sz w:val="20"/>
          <w:szCs w:val="20"/>
          <w:lang w:eastAsia="tr-TR"/>
        </w:rPr>
        <w:t>ÇARŞAMBA</w:t>
      </w:r>
    </w:p>
    <w:p w14:paraId="1AE35A25" w14:textId="77777777" w:rsidR="00807280" w:rsidRPr="00DD24CB" w:rsidRDefault="00807280" w:rsidP="00807280">
      <w:pPr>
        <w:spacing w:line="276" w:lineRule="auto"/>
        <w:rPr>
          <w:rFonts w:ascii="Arial" w:hAnsi="Arial" w:cs="Arial"/>
          <w:b/>
          <w:noProof w:val="0"/>
          <w:kern w:val="0"/>
          <w:position w:val="0"/>
          <w:sz w:val="20"/>
          <w:szCs w:val="20"/>
          <w:lang w:eastAsia="tr-TR"/>
        </w:rPr>
      </w:pPr>
    </w:p>
    <w:p w14:paraId="1F05F9B0" w14:textId="77777777" w:rsidR="00807280" w:rsidRDefault="00807280" w:rsidP="00807280">
      <w:pPr>
        <w:tabs>
          <w:tab w:val="left" w:pos="567"/>
        </w:tabs>
        <w:spacing w:line="276" w:lineRule="auto"/>
        <w:rPr>
          <w:rFonts w:ascii="Arial" w:hAnsi="Arial" w:cs="Arial"/>
          <w:b/>
          <w:noProof w:val="0"/>
          <w:kern w:val="0"/>
          <w:position w:val="0"/>
          <w:sz w:val="20"/>
          <w:szCs w:val="20"/>
          <w:u w:val="single"/>
          <w:lang w:eastAsia="tr-TR"/>
        </w:rPr>
      </w:pPr>
      <w:r>
        <w:rPr>
          <w:rFonts w:ascii="Arial" w:hAnsi="Arial" w:cs="Arial"/>
          <w:b/>
          <w:noProof w:val="0"/>
          <w:kern w:val="0"/>
          <w:position w:val="0"/>
          <w:sz w:val="20"/>
          <w:szCs w:val="20"/>
          <w:u w:val="single"/>
          <w:lang w:eastAsia="tr-TR"/>
        </w:rPr>
        <w:t>Sermaye Piyasası Kurulundan</w:t>
      </w:r>
      <w:r w:rsidRPr="003D070B">
        <w:rPr>
          <w:rFonts w:ascii="Arial" w:hAnsi="Arial" w:cs="Arial"/>
          <w:b/>
          <w:noProof w:val="0"/>
          <w:kern w:val="0"/>
          <w:position w:val="0"/>
          <w:sz w:val="20"/>
          <w:szCs w:val="20"/>
          <w:u w:val="single"/>
          <w:lang w:eastAsia="tr-TR"/>
        </w:rPr>
        <w:t>:</w:t>
      </w:r>
    </w:p>
    <w:p w14:paraId="2149ADB8" w14:textId="77777777" w:rsidR="00807280" w:rsidRDefault="00807280" w:rsidP="00807280">
      <w:pPr>
        <w:pStyle w:val="Balk2"/>
      </w:pPr>
    </w:p>
    <w:p w14:paraId="521F7B54" w14:textId="7A0AE7A7" w:rsidR="00807280" w:rsidRDefault="00807280" w:rsidP="00807280">
      <w:pPr>
        <w:pStyle w:val="Balk2"/>
      </w:pPr>
      <w:r w:rsidRPr="004026D0">
        <w:t>YATIRIM FONLARINA İLİŞKİN ESASLAR TEBLİĞİ (III-52.1)’NDE</w:t>
      </w:r>
      <w:r>
        <w:t xml:space="preserve"> DEĞİŞİKLİK </w:t>
      </w:r>
      <w:r w:rsidRPr="004026D0">
        <w:t>YAPILMASINA DAİR TEBLİĞ (III-52.1.ç)</w:t>
      </w:r>
      <w:bookmarkEnd w:id="0"/>
    </w:p>
    <w:p w14:paraId="0F65E536" w14:textId="77777777" w:rsidR="00807280" w:rsidRPr="00807280" w:rsidRDefault="00807280" w:rsidP="00807280">
      <w:pPr>
        <w:rPr>
          <w:lang w:eastAsia="tr-TR"/>
        </w:rPr>
      </w:pPr>
    </w:p>
    <w:p w14:paraId="1CCB2E45" w14:textId="77777777" w:rsidR="00807280" w:rsidRPr="00807280" w:rsidRDefault="00807280" w:rsidP="00807280">
      <w:pPr>
        <w:widowControl w:val="0"/>
        <w:spacing w:line="276" w:lineRule="auto"/>
        <w:ind w:right="170"/>
        <w:rPr>
          <w:rFonts w:ascii="Arial" w:eastAsiaTheme="minorHAnsi" w:hAnsi="Arial" w:cs="Arial"/>
          <w:noProof w:val="0"/>
          <w:color w:val="000000"/>
          <w:position w:val="0"/>
          <w:sz w:val="20"/>
          <w:szCs w:val="20"/>
        </w:rPr>
      </w:pPr>
      <w:r w:rsidRPr="00807280">
        <w:rPr>
          <w:rFonts w:ascii="Arial" w:eastAsiaTheme="minorHAnsi" w:hAnsi="Arial" w:cs="Arial"/>
          <w:b/>
          <w:noProof w:val="0"/>
          <w:color w:val="000000"/>
          <w:position w:val="0"/>
          <w:sz w:val="20"/>
          <w:szCs w:val="20"/>
        </w:rPr>
        <w:t>MADDE 1 – </w:t>
      </w:r>
      <w:r w:rsidRPr="00807280">
        <w:rPr>
          <w:rFonts w:ascii="Arial" w:eastAsiaTheme="minorHAnsi" w:hAnsi="Arial" w:cs="Arial"/>
          <w:noProof w:val="0"/>
          <w:color w:val="000000"/>
          <w:position w:val="0"/>
          <w:sz w:val="20"/>
          <w:szCs w:val="20"/>
        </w:rPr>
        <w:t>9/7/2013 tarihli ve 28702 sayılı Resmî Gazete’de yayımlanan Yatırım Fonlarına İlişkin Esaslar Tebliği (III-52.1)’nin 3 üncü maddesinin birinci fıkrasının (i) bendi aşağıdaki şekilde değiştirilmiştir.</w:t>
      </w:r>
    </w:p>
    <w:p w14:paraId="39BABDFF" w14:textId="77777777" w:rsidR="00807280" w:rsidRPr="00807280" w:rsidRDefault="00807280" w:rsidP="00807280">
      <w:pPr>
        <w:widowControl w:val="0"/>
        <w:spacing w:line="276" w:lineRule="auto"/>
        <w:ind w:right="170"/>
        <w:rPr>
          <w:rFonts w:ascii="Arial" w:eastAsiaTheme="minorHAnsi" w:hAnsi="Arial" w:cs="Arial"/>
          <w:noProof w:val="0"/>
          <w:color w:val="000000"/>
          <w:position w:val="0"/>
          <w:sz w:val="20"/>
          <w:szCs w:val="20"/>
        </w:rPr>
      </w:pPr>
      <w:r w:rsidRPr="00807280">
        <w:rPr>
          <w:rFonts w:ascii="Arial" w:eastAsiaTheme="minorHAnsi" w:hAnsi="Arial" w:cs="Arial"/>
          <w:noProof w:val="0"/>
          <w:color w:val="000000"/>
          <w:position w:val="0"/>
          <w:sz w:val="20"/>
          <w:szCs w:val="20"/>
        </w:rPr>
        <w:t>“i) İhraççı: Kitle fonlaması platformları aracılığıyla para toplayanlar hariç olmak üzere, sermaye piyasası araçlarını ihraç eden, ihraç etmek üzere Kurula başvuruda bulunan veya sermaye piyasası araçları halka arz edilen tüzel kişileri ve Kanuna tabi yatırım fonlarını,”</w:t>
      </w:r>
    </w:p>
    <w:p w14:paraId="4C17AA91" w14:textId="77777777" w:rsidR="00807280" w:rsidRPr="00807280" w:rsidRDefault="00807280" w:rsidP="00807280">
      <w:pPr>
        <w:widowControl w:val="0"/>
        <w:spacing w:line="276" w:lineRule="auto"/>
        <w:ind w:right="170"/>
        <w:rPr>
          <w:rFonts w:ascii="Arial" w:eastAsiaTheme="minorHAnsi" w:hAnsi="Arial" w:cs="Arial"/>
          <w:noProof w:val="0"/>
          <w:color w:val="000000"/>
          <w:position w:val="0"/>
          <w:sz w:val="20"/>
          <w:szCs w:val="20"/>
        </w:rPr>
      </w:pPr>
      <w:r w:rsidRPr="00807280">
        <w:rPr>
          <w:rFonts w:ascii="Arial" w:eastAsiaTheme="minorHAnsi" w:hAnsi="Arial" w:cs="Arial"/>
          <w:b/>
          <w:noProof w:val="0"/>
          <w:color w:val="000000"/>
          <w:position w:val="0"/>
          <w:sz w:val="20"/>
          <w:szCs w:val="20"/>
        </w:rPr>
        <w:t>MADDE 2 – </w:t>
      </w:r>
      <w:r w:rsidRPr="00807280">
        <w:rPr>
          <w:rFonts w:ascii="Arial" w:eastAsiaTheme="minorHAnsi" w:hAnsi="Arial" w:cs="Arial"/>
          <w:noProof w:val="0"/>
          <w:color w:val="000000"/>
          <w:position w:val="0"/>
          <w:sz w:val="20"/>
          <w:szCs w:val="20"/>
        </w:rPr>
        <w:t>Aynı Tebliğin 6 ncı maddesinin ikinci fıkrası aşağıdaki şekilde değiştirilmiş ve dördüncü fıkrasından sonra gelmek üzere aşağıdaki fıkra eklenmiştir.</w:t>
      </w:r>
    </w:p>
    <w:p w14:paraId="42F748BA" w14:textId="77777777" w:rsidR="00807280" w:rsidRPr="00807280" w:rsidRDefault="00807280" w:rsidP="00807280">
      <w:pPr>
        <w:widowControl w:val="0"/>
        <w:spacing w:line="276" w:lineRule="auto"/>
        <w:ind w:right="170"/>
        <w:rPr>
          <w:rFonts w:ascii="Arial" w:eastAsiaTheme="minorHAnsi" w:hAnsi="Arial" w:cs="Arial"/>
          <w:noProof w:val="0"/>
          <w:color w:val="000000"/>
          <w:position w:val="0"/>
          <w:sz w:val="20"/>
          <w:szCs w:val="20"/>
        </w:rPr>
      </w:pPr>
      <w:r w:rsidRPr="00807280">
        <w:rPr>
          <w:rFonts w:ascii="Arial" w:eastAsiaTheme="minorHAnsi" w:hAnsi="Arial" w:cs="Arial"/>
          <w:noProof w:val="0"/>
          <w:color w:val="000000"/>
          <w:position w:val="0"/>
          <w:sz w:val="20"/>
          <w:szCs w:val="20"/>
        </w:rPr>
        <w:t>“(2) Fon portföy değerinin en az %80’i devamlı olarak menkul kıymet yatırım ortaklıkları payları hariç olmak üzere BİAŞ’ta işlem gören ihraççı paylarından oluşan ve bu maddenin birinci fıkrasının (a) bendinin (2) numaralı alt bendi ile (d) bendinde belirtilen şemsiye fonlara bağlı olarak ihraç edilen fonlar "Hisse Senedi Yoğun Fon" olarak kabul edilir. Hisse senedi yoğun fonların portföylerinde yer alan ihraççı paylarına ve pay endekslerine dayalı olarak yapılan vadeli işlem sözleşmelerinin nakit teminatları, ihraççı paylarına ve pay endekslerine dayalı opsiyon sözleşmelerinin primleri, borsada işlem gören ihraççı paylarına ve pay endekslerine dayalı aracı kuruluş varantları ve ihraççı paylarından oluşan endeksleri 27/11/2013 tarihli ve 28834 sayılı Resmî Gazete’de yayımlanan Borsa Yatırım Fonlarına İlişkin Esaslar Tebliği (III-52.2)’nin 5 inci maddesinin dördüncü fıkrasının (a) bendi kapsamında takip etmek üzere kurulan borsa yatırım fonları katılma payları %80’lik oranın hesaplanmasına dahil edilir. Bu Tebliğin 24 üncü maddesinin beşinci fıkrası hükümleri saklı kalmak kaydıyla, bir fonun, hisse senedi yoğun fon olarak sınıflandırılabilmesi için günlük olarak gerekli olan şartları sağlamaması halinde, sağlanmayan günlere ilişkin, fonun, yatırımcıların ve/veya yatırım fonu katılma payı alım satımını yapan kuruluşların tabi olacağı tüm yükümlülüklerin yerine getirilmesinden de kurucu ve portföy saklayıcısı müteselsilen sorumludur.”</w:t>
      </w:r>
    </w:p>
    <w:p w14:paraId="23ADEF6C" w14:textId="77777777" w:rsidR="00807280" w:rsidRPr="00807280" w:rsidRDefault="00807280" w:rsidP="00807280">
      <w:pPr>
        <w:widowControl w:val="0"/>
        <w:spacing w:line="276" w:lineRule="auto"/>
        <w:ind w:right="170"/>
        <w:rPr>
          <w:rFonts w:ascii="Arial" w:eastAsiaTheme="minorHAnsi" w:hAnsi="Arial" w:cs="Arial"/>
          <w:noProof w:val="0"/>
          <w:color w:val="000000"/>
          <w:position w:val="0"/>
          <w:sz w:val="20"/>
          <w:szCs w:val="20"/>
        </w:rPr>
      </w:pPr>
      <w:r w:rsidRPr="00807280">
        <w:rPr>
          <w:rFonts w:ascii="Arial" w:eastAsiaTheme="minorHAnsi" w:hAnsi="Arial" w:cs="Arial"/>
          <w:noProof w:val="0"/>
          <w:color w:val="000000"/>
          <w:position w:val="0"/>
          <w:sz w:val="20"/>
          <w:szCs w:val="20"/>
        </w:rPr>
        <w:t>“(5) 27/11/2013 tarihli ve 28834 sayılı Resmî Gazete’de yayımlanan Borsa Yatırım Fonlarına İlişkin Esaslar Tebliği (III-52.2)’nin 5 inci maddesinin dördüncü fıkrasının (a) bendi kapsamında belirli bir varlık grubundan oluşan endeksi takip etmek üzere kurulan borsa yatırım fonlarının katılma paylarına yapılan yatırım, bu Tebliğde ve fon bilgilendirme dokümanlarında ilgili varlık grubu için belirlenen yatırım sınırlamaları hesaplamalarına dahil edilir.”</w:t>
      </w:r>
    </w:p>
    <w:p w14:paraId="62C6D2A1" w14:textId="77777777" w:rsidR="00807280" w:rsidRPr="00807280" w:rsidRDefault="00807280" w:rsidP="00807280">
      <w:pPr>
        <w:widowControl w:val="0"/>
        <w:spacing w:line="276" w:lineRule="auto"/>
        <w:ind w:right="170"/>
        <w:rPr>
          <w:rFonts w:ascii="Arial" w:eastAsiaTheme="minorHAnsi" w:hAnsi="Arial" w:cs="Arial"/>
          <w:noProof w:val="0"/>
          <w:color w:val="000000"/>
          <w:position w:val="0"/>
          <w:sz w:val="20"/>
          <w:szCs w:val="20"/>
        </w:rPr>
      </w:pPr>
      <w:r w:rsidRPr="00807280">
        <w:rPr>
          <w:rFonts w:ascii="Arial" w:eastAsiaTheme="minorHAnsi" w:hAnsi="Arial" w:cs="Arial"/>
          <w:b/>
          <w:noProof w:val="0"/>
          <w:color w:val="000000"/>
          <w:position w:val="0"/>
          <w:sz w:val="20"/>
          <w:szCs w:val="20"/>
        </w:rPr>
        <w:t>MADDE 3 – </w:t>
      </w:r>
      <w:r w:rsidRPr="00807280">
        <w:rPr>
          <w:rFonts w:ascii="Arial" w:eastAsiaTheme="minorHAnsi" w:hAnsi="Arial" w:cs="Arial"/>
          <w:noProof w:val="0"/>
          <w:color w:val="000000"/>
          <w:position w:val="0"/>
          <w:sz w:val="20"/>
          <w:szCs w:val="20"/>
        </w:rPr>
        <w:t>Aynı Tebliğin 18 inci maddesinin birinci fıkrası aşağıdaki şekilde değiştirilmiş ve ikinci fıkrasından sonra gelmek üzere aşağıdaki fıkra eklenmiştir.</w:t>
      </w:r>
    </w:p>
    <w:p w14:paraId="008B66E0" w14:textId="77777777" w:rsidR="00807280" w:rsidRPr="00807280" w:rsidRDefault="00807280" w:rsidP="00807280">
      <w:pPr>
        <w:widowControl w:val="0"/>
        <w:spacing w:line="276" w:lineRule="auto"/>
        <w:ind w:right="170"/>
        <w:rPr>
          <w:rFonts w:ascii="Arial" w:eastAsiaTheme="minorHAnsi" w:hAnsi="Arial" w:cs="Arial"/>
          <w:noProof w:val="0"/>
          <w:color w:val="000000"/>
          <w:position w:val="0"/>
          <w:sz w:val="20"/>
          <w:szCs w:val="20"/>
        </w:rPr>
      </w:pPr>
      <w:r w:rsidRPr="00807280">
        <w:rPr>
          <w:rFonts w:ascii="Arial" w:eastAsiaTheme="minorHAnsi" w:hAnsi="Arial" w:cs="Arial"/>
          <w:noProof w:val="0"/>
          <w:color w:val="000000"/>
          <w:position w:val="0"/>
          <w:sz w:val="20"/>
          <w:szCs w:val="20"/>
        </w:rPr>
        <w:t>“(1) Fon toplam değerinin en fazla %20’si fon katılma paylarına, menkul kıymet yatırım ortaklıkları paylarına, yabancı borsalarda işlem gören borsa yatırım fonu katılma paylarına ve yabancı yatırım fonu katılma paylarına yatırılmak suretiyle değerlendirilir. Türkiye’de kurulu borsa yatırım fonlarının katılma paylarına yapılan yatırım için bu sınırlama uygulanmaz. Ancak tek bir yatırım fonunun, yabancı borsalarda işlem gören borsa yatırım fonunun ve yabancı yatırım fonunun katılma paylarına yapılan yatırım tutarı fon toplam değerinin %10’unu, Türkiye’de kurulu tek bir borsa yatırım fonunun katılma paylarına yapılan yatırım tutarı ise fon toplam değerinin %20’sini aşamaz.”</w:t>
      </w:r>
    </w:p>
    <w:p w14:paraId="7EF64091" w14:textId="77777777" w:rsidR="00807280" w:rsidRPr="00807280" w:rsidRDefault="00807280" w:rsidP="00807280">
      <w:pPr>
        <w:widowControl w:val="0"/>
        <w:spacing w:line="276" w:lineRule="auto"/>
        <w:ind w:right="170"/>
        <w:rPr>
          <w:rFonts w:ascii="Arial" w:eastAsiaTheme="minorHAnsi" w:hAnsi="Arial" w:cs="Arial"/>
          <w:noProof w:val="0"/>
          <w:color w:val="000000"/>
          <w:position w:val="0"/>
          <w:sz w:val="20"/>
          <w:szCs w:val="20"/>
        </w:rPr>
      </w:pPr>
      <w:r w:rsidRPr="00807280">
        <w:rPr>
          <w:rFonts w:ascii="Arial" w:eastAsiaTheme="minorHAnsi" w:hAnsi="Arial" w:cs="Arial"/>
          <w:noProof w:val="0"/>
          <w:color w:val="000000"/>
          <w:position w:val="0"/>
          <w:sz w:val="20"/>
          <w:szCs w:val="20"/>
        </w:rPr>
        <w:t>“(3) Bu Tebliğin 17 nci maddesinin birinci fıkrasının (a) ve (b) bentleri uyarınca yapılacak ihraççı sınırı kontrolünde, fonların portföylerinde yer alan yatırım fonu/borsa yatırım fonu katılma payları dikkate alınmaz.”</w:t>
      </w:r>
    </w:p>
    <w:p w14:paraId="4817E66C" w14:textId="77777777" w:rsidR="00807280" w:rsidRPr="00807280" w:rsidRDefault="00807280" w:rsidP="00807280">
      <w:pPr>
        <w:widowControl w:val="0"/>
        <w:spacing w:line="276" w:lineRule="auto"/>
        <w:ind w:right="170"/>
        <w:rPr>
          <w:rFonts w:ascii="Arial" w:eastAsiaTheme="minorHAnsi" w:hAnsi="Arial" w:cs="Arial"/>
          <w:b/>
          <w:noProof w:val="0"/>
          <w:color w:val="000000"/>
          <w:position w:val="0"/>
          <w:sz w:val="20"/>
          <w:szCs w:val="20"/>
        </w:rPr>
      </w:pPr>
      <w:r w:rsidRPr="00807280">
        <w:rPr>
          <w:rFonts w:ascii="Arial" w:eastAsiaTheme="minorHAnsi" w:hAnsi="Arial" w:cs="Arial"/>
          <w:b/>
          <w:noProof w:val="0"/>
          <w:color w:val="000000"/>
          <w:position w:val="0"/>
          <w:sz w:val="20"/>
          <w:szCs w:val="20"/>
        </w:rPr>
        <w:t>MADDE 4 – </w:t>
      </w:r>
      <w:r w:rsidRPr="00807280">
        <w:rPr>
          <w:rFonts w:ascii="Arial" w:eastAsiaTheme="minorHAnsi" w:hAnsi="Arial" w:cs="Arial"/>
          <w:noProof w:val="0"/>
          <w:color w:val="000000"/>
          <w:position w:val="0"/>
          <w:sz w:val="20"/>
          <w:szCs w:val="20"/>
        </w:rPr>
        <w:t>Aynı Tebliğin 25 inci maddesinin onuncu fıkrası yürürlükten kaldırılmıştır.</w:t>
      </w:r>
    </w:p>
    <w:p w14:paraId="57EFAA41" w14:textId="77777777" w:rsidR="00807280" w:rsidRPr="00807280" w:rsidRDefault="00807280" w:rsidP="00807280">
      <w:pPr>
        <w:widowControl w:val="0"/>
        <w:spacing w:line="276" w:lineRule="auto"/>
        <w:ind w:right="170"/>
        <w:rPr>
          <w:rFonts w:ascii="Arial" w:eastAsiaTheme="minorHAnsi" w:hAnsi="Arial" w:cs="Arial"/>
          <w:b/>
          <w:noProof w:val="0"/>
          <w:color w:val="000000"/>
          <w:position w:val="0"/>
          <w:sz w:val="20"/>
          <w:szCs w:val="20"/>
        </w:rPr>
      </w:pPr>
      <w:r w:rsidRPr="00807280">
        <w:rPr>
          <w:rFonts w:ascii="Arial" w:eastAsiaTheme="minorHAnsi" w:hAnsi="Arial" w:cs="Arial"/>
          <w:b/>
          <w:noProof w:val="0"/>
          <w:color w:val="000000"/>
          <w:position w:val="0"/>
          <w:sz w:val="20"/>
          <w:szCs w:val="20"/>
        </w:rPr>
        <w:t>MADDE 5 – </w:t>
      </w:r>
      <w:r w:rsidRPr="00807280">
        <w:rPr>
          <w:rFonts w:ascii="Arial" w:eastAsiaTheme="minorHAnsi" w:hAnsi="Arial" w:cs="Arial"/>
          <w:noProof w:val="0"/>
          <w:color w:val="000000"/>
          <w:position w:val="0"/>
          <w:sz w:val="20"/>
          <w:szCs w:val="20"/>
        </w:rPr>
        <w:t>Bu Tebliğ yayımı tarihinde yürürlüğe girer.</w:t>
      </w:r>
    </w:p>
    <w:p w14:paraId="047B5234" w14:textId="70DB3AE0" w:rsidR="00626E7B" w:rsidRPr="00807280" w:rsidRDefault="00807280" w:rsidP="00807280">
      <w:pPr>
        <w:widowControl w:val="0"/>
        <w:spacing w:line="276" w:lineRule="auto"/>
        <w:ind w:right="170"/>
        <w:rPr>
          <w:rFonts w:ascii="Arial" w:eastAsiaTheme="minorHAnsi" w:hAnsi="Arial" w:cs="Arial"/>
          <w:b/>
          <w:noProof w:val="0"/>
          <w:color w:val="000000"/>
          <w:position w:val="0"/>
          <w:sz w:val="20"/>
          <w:szCs w:val="20"/>
        </w:rPr>
      </w:pPr>
      <w:r w:rsidRPr="00807280">
        <w:rPr>
          <w:rFonts w:ascii="Arial" w:eastAsiaTheme="minorHAnsi" w:hAnsi="Arial" w:cs="Arial"/>
          <w:b/>
          <w:noProof w:val="0"/>
          <w:color w:val="000000"/>
          <w:position w:val="0"/>
          <w:sz w:val="20"/>
          <w:szCs w:val="20"/>
        </w:rPr>
        <w:t>MADDE 6 – </w:t>
      </w:r>
      <w:r w:rsidRPr="00807280">
        <w:rPr>
          <w:rFonts w:ascii="Arial" w:eastAsiaTheme="minorHAnsi" w:hAnsi="Arial" w:cs="Arial"/>
          <w:noProof w:val="0"/>
          <w:color w:val="000000"/>
          <w:position w:val="0"/>
          <w:sz w:val="20"/>
          <w:szCs w:val="20"/>
        </w:rPr>
        <w:t>Bu Tebliğ hükümlerini Sermaye Piyasası Kurulu yürütür</w:t>
      </w:r>
      <w:r w:rsidRPr="00807280">
        <w:rPr>
          <w:rFonts w:ascii="Arial" w:eastAsiaTheme="minorHAnsi" w:hAnsi="Arial" w:cs="Arial"/>
          <w:noProof w:val="0"/>
          <w:color w:val="000000"/>
          <w:position w:val="0"/>
          <w:sz w:val="20"/>
          <w:szCs w:val="20"/>
        </w:rPr>
        <w:t>.</w:t>
      </w:r>
    </w:p>
    <w:sectPr w:rsidR="00626E7B" w:rsidRPr="0080728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706A0" w14:textId="77777777" w:rsidR="00807280" w:rsidRDefault="00807280" w:rsidP="00807280">
      <w:r>
        <w:separator/>
      </w:r>
    </w:p>
  </w:endnote>
  <w:endnote w:type="continuationSeparator" w:id="0">
    <w:p w14:paraId="1EFD2633" w14:textId="77777777" w:rsidR="00807280" w:rsidRDefault="00807280" w:rsidP="0080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0ABB0" w14:textId="1D807EBE" w:rsidR="00807280" w:rsidRPr="00807280" w:rsidRDefault="00807280" w:rsidP="00807280">
    <w:pPr>
      <w:pStyle w:val="AltBilgi"/>
      <w:jc w:val="left"/>
    </w:pPr>
    <w:r>
      <w:rPr>
        <w:rFonts w:ascii="Arial" w:hAnsi="Arial" w:cs="Arial"/>
        <w:b/>
        <w:noProof w:val="0"/>
        <w:kern w:val="0"/>
        <w:position w:val="0"/>
        <w:sz w:val="20"/>
        <w:szCs w:val="20"/>
        <w:lang w:eastAsia="tr-TR"/>
      </w:rPr>
      <w:fldChar w:fldCharType="begin" w:fldLock="1"/>
    </w:r>
    <w:r>
      <w:rPr>
        <w:rFonts w:ascii="Arial" w:hAnsi="Arial" w:cs="Arial"/>
        <w:b/>
        <w:noProof w:val="0"/>
        <w:kern w:val="0"/>
        <w:position w:val="0"/>
        <w:sz w:val="20"/>
        <w:szCs w:val="20"/>
        <w:lang w:eastAsia="tr-TR"/>
      </w:rPr>
      <w:instrText xml:space="preserve"> DOCPROPERTY bjFooterEvenPageDocProperty \* MERGEFORMAT </w:instrText>
    </w:r>
    <w:r>
      <w:rPr>
        <w:rFonts w:ascii="Arial" w:hAnsi="Arial" w:cs="Arial"/>
        <w:b/>
        <w:noProof w:val="0"/>
        <w:kern w:val="0"/>
        <w:position w:val="0"/>
        <w:sz w:val="20"/>
        <w:szCs w:val="20"/>
        <w:lang w:eastAsia="tr-TR"/>
      </w:rPr>
      <w:fldChar w:fldCharType="separate"/>
    </w:r>
    <w:r w:rsidRPr="005534CA">
      <w:rPr>
        <w:rFonts w:ascii="Malgun Gothic" w:eastAsia="Malgun Gothic" w:hAnsi="Malgun Gothic" w:cs="Arial"/>
        <w:b/>
        <w:bCs/>
        <w:noProof w:val="0"/>
        <w:color w:val="999999"/>
        <w:kern w:val="0"/>
        <w:position w:val="0"/>
        <w:sz w:val="20"/>
        <w:szCs w:val="20"/>
        <w:lang w:eastAsia="tr-TR"/>
      </w:rPr>
      <w:t>Sınıflandırma|</w:t>
    </w:r>
    <w:r w:rsidRPr="005534CA">
      <w:rPr>
        <w:rFonts w:ascii="Malgun Gothic" w:eastAsia="Malgun Gothic" w:hAnsi="Malgun Gothic" w:cs="Arial"/>
        <w:b/>
        <w:bCs/>
        <w:noProof w:val="0"/>
        <w:color w:val="339966"/>
        <w:kern w:val="0"/>
        <w:position w:val="0"/>
        <w:sz w:val="20"/>
        <w:szCs w:val="20"/>
        <w:lang w:eastAsia="tr-TR"/>
      </w:rPr>
      <w:t>Genel</w:t>
    </w:r>
    <w:r>
      <w:rPr>
        <w:rFonts w:ascii="Arial" w:hAnsi="Arial" w:cs="Arial"/>
        <w:b/>
        <w:noProof w:val="0"/>
        <w:kern w:val="0"/>
        <w:position w:val="0"/>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7BBA" w14:textId="79FFB00F" w:rsidR="00807280" w:rsidRPr="00807280" w:rsidRDefault="00807280" w:rsidP="00807280">
    <w:pPr>
      <w:pStyle w:val="AltBilgi"/>
      <w:jc w:val="left"/>
    </w:pPr>
    <w:r>
      <w:rPr>
        <w:rFonts w:ascii="Arial" w:hAnsi="Arial" w:cs="Arial"/>
        <w:b/>
        <w:noProof w:val="0"/>
        <w:kern w:val="0"/>
        <w:position w:val="0"/>
        <w:sz w:val="20"/>
        <w:szCs w:val="20"/>
        <w:lang w:eastAsia="tr-TR"/>
      </w:rPr>
      <w:fldChar w:fldCharType="begin" w:fldLock="1"/>
    </w:r>
    <w:r>
      <w:rPr>
        <w:rFonts w:ascii="Arial" w:hAnsi="Arial" w:cs="Arial"/>
        <w:b/>
        <w:noProof w:val="0"/>
        <w:kern w:val="0"/>
        <w:position w:val="0"/>
        <w:sz w:val="20"/>
        <w:szCs w:val="20"/>
        <w:lang w:eastAsia="tr-TR"/>
      </w:rPr>
      <w:instrText xml:space="preserve"> DOCPROPERTY bjFooterBothDocProperty \* MERGEFORMAT </w:instrText>
    </w:r>
    <w:r>
      <w:rPr>
        <w:rFonts w:ascii="Arial" w:hAnsi="Arial" w:cs="Arial"/>
        <w:b/>
        <w:noProof w:val="0"/>
        <w:kern w:val="0"/>
        <w:position w:val="0"/>
        <w:sz w:val="20"/>
        <w:szCs w:val="20"/>
        <w:lang w:eastAsia="tr-TR"/>
      </w:rPr>
      <w:fldChar w:fldCharType="separate"/>
    </w:r>
    <w:r w:rsidRPr="005534CA">
      <w:rPr>
        <w:rFonts w:ascii="Malgun Gothic" w:eastAsia="Malgun Gothic" w:hAnsi="Malgun Gothic" w:cs="Arial"/>
        <w:b/>
        <w:bCs/>
        <w:noProof w:val="0"/>
        <w:color w:val="999999"/>
        <w:kern w:val="0"/>
        <w:position w:val="0"/>
        <w:sz w:val="20"/>
        <w:szCs w:val="20"/>
        <w:lang w:eastAsia="tr-TR"/>
      </w:rPr>
      <w:t>Sınıflandırma|</w:t>
    </w:r>
    <w:r w:rsidRPr="005534CA">
      <w:rPr>
        <w:rFonts w:ascii="Malgun Gothic" w:eastAsia="Malgun Gothic" w:hAnsi="Malgun Gothic" w:cs="Arial"/>
        <w:b/>
        <w:bCs/>
        <w:noProof w:val="0"/>
        <w:color w:val="339966"/>
        <w:kern w:val="0"/>
        <w:position w:val="0"/>
        <w:sz w:val="20"/>
        <w:szCs w:val="20"/>
        <w:lang w:eastAsia="tr-TR"/>
      </w:rPr>
      <w:t>Genel</w:t>
    </w:r>
    <w:r>
      <w:rPr>
        <w:rFonts w:ascii="Arial" w:hAnsi="Arial" w:cs="Arial"/>
        <w:b/>
        <w:noProof w:val="0"/>
        <w:kern w:val="0"/>
        <w:position w:val="0"/>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E705C" w14:textId="0F3CC821" w:rsidR="00807280" w:rsidRPr="00807280" w:rsidRDefault="00807280" w:rsidP="00807280">
    <w:pPr>
      <w:pStyle w:val="AltBilgi"/>
      <w:jc w:val="left"/>
    </w:pPr>
    <w:r>
      <w:rPr>
        <w:rFonts w:ascii="Arial" w:hAnsi="Arial" w:cs="Arial"/>
        <w:b/>
        <w:noProof w:val="0"/>
        <w:kern w:val="0"/>
        <w:position w:val="0"/>
        <w:sz w:val="20"/>
        <w:szCs w:val="20"/>
        <w:lang w:eastAsia="tr-TR"/>
      </w:rPr>
      <w:fldChar w:fldCharType="begin" w:fldLock="1"/>
    </w:r>
    <w:r>
      <w:rPr>
        <w:rFonts w:ascii="Arial" w:hAnsi="Arial" w:cs="Arial"/>
        <w:b/>
        <w:noProof w:val="0"/>
        <w:kern w:val="0"/>
        <w:position w:val="0"/>
        <w:sz w:val="20"/>
        <w:szCs w:val="20"/>
        <w:lang w:eastAsia="tr-TR"/>
      </w:rPr>
      <w:instrText xml:space="preserve"> DOCPROPERTY bjFooterFirstPageDocProperty \* MERGEFORMAT </w:instrText>
    </w:r>
    <w:r>
      <w:rPr>
        <w:rFonts w:ascii="Arial" w:hAnsi="Arial" w:cs="Arial"/>
        <w:b/>
        <w:noProof w:val="0"/>
        <w:kern w:val="0"/>
        <w:position w:val="0"/>
        <w:sz w:val="20"/>
        <w:szCs w:val="20"/>
        <w:lang w:eastAsia="tr-TR"/>
      </w:rPr>
      <w:fldChar w:fldCharType="separate"/>
    </w:r>
    <w:r w:rsidRPr="005534CA">
      <w:rPr>
        <w:rFonts w:ascii="Malgun Gothic" w:eastAsia="Malgun Gothic" w:hAnsi="Malgun Gothic" w:cs="Arial"/>
        <w:b/>
        <w:bCs/>
        <w:noProof w:val="0"/>
        <w:color w:val="999999"/>
        <w:kern w:val="0"/>
        <w:position w:val="0"/>
        <w:sz w:val="20"/>
        <w:szCs w:val="20"/>
        <w:lang w:eastAsia="tr-TR"/>
      </w:rPr>
      <w:t>Sınıflandırma|</w:t>
    </w:r>
    <w:r w:rsidRPr="005534CA">
      <w:rPr>
        <w:rFonts w:ascii="Malgun Gothic" w:eastAsia="Malgun Gothic" w:hAnsi="Malgun Gothic" w:cs="Arial"/>
        <w:b/>
        <w:bCs/>
        <w:noProof w:val="0"/>
        <w:color w:val="339966"/>
        <w:kern w:val="0"/>
        <w:position w:val="0"/>
        <w:sz w:val="20"/>
        <w:szCs w:val="20"/>
        <w:lang w:eastAsia="tr-TR"/>
      </w:rPr>
      <w:t>Genel</w:t>
    </w:r>
    <w:r>
      <w:rPr>
        <w:rFonts w:ascii="Arial" w:hAnsi="Arial" w:cs="Arial"/>
        <w:b/>
        <w:noProof w:val="0"/>
        <w:kern w:val="0"/>
        <w:position w:val="0"/>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80262" w14:textId="77777777" w:rsidR="00807280" w:rsidRDefault="00807280" w:rsidP="00807280">
      <w:r>
        <w:separator/>
      </w:r>
    </w:p>
  </w:footnote>
  <w:footnote w:type="continuationSeparator" w:id="0">
    <w:p w14:paraId="012A9E7D" w14:textId="77777777" w:rsidR="00807280" w:rsidRDefault="00807280" w:rsidP="0080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DA95" w14:textId="77777777" w:rsidR="00807280" w:rsidRDefault="008072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18A35" w14:textId="77777777" w:rsidR="00807280" w:rsidRDefault="0080728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FB87" w14:textId="77777777" w:rsidR="00807280" w:rsidRDefault="0080728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42"/>
    <w:rsid w:val="000D3842"/>
    <w:rsid w:val="00626E7B"/>
    <w:rsid w:val="00807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215CE"/>
  <w15:chartTrackingRefBased/>
  <w15:docId w15:val="{3E624DB0-4DC0-4F85-A4AC-82973D29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280"/>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807280"/>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07280"/>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807280"/>
    <w:pPr>
      <w:tabs>
        <w:tab w:val="center" w:pos="4536"/>
        <w:tab w:val="right" w:pos="9072"/>
      </w:tabs>
    </w:pPr>
  </w:style>
  <w:style w:type="character" w:customStyle="1" w:styleId="stBilgiChar">
    <w:name w:val="Üst Bilgi Char"/>
    <w:basedOn w:val="VarsaylanParagrafYazTipi"/>
    <w:link w:val="stBilgi"/>
    <w:uiPriority w:val="99"/>
    <w:rsid w:val="00807280"/>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807280"/>
    <w:pPr>
      <w:tabs>
        <w:tab w:val="center" w:pos="4536"/>
        <w:tab w:val="right" w:pos="9072"/>
      </w:tabs>
    </w:pPr>
  </w:style>
  <w:style w:type="character" w:customStyle="1" w:styleId="AltBilgiChar">
    <w:name w:val="Alt Bilgi Char"/>
    <w:basedOn w:val="VarsaylanParagrafYazTipi"/>
    <w:link w:val="AltBilgi"/>
    <w:uiPriority w:val="99"/>
    <w:rsid w:val="00807280"/>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58B83899-B718-478D-86D9-11DB8A2EB28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600</Words>
  <Characters>3422</Characters>
  <Application>Microsoft Office Word</Application>
  <DocSecurity>0</DocSecurity>
  <Lines>28</Lines>
  <Paragraphs>8</Paragraphs>
  <ScaleCrop>false</ScaleCrop>
  <Company>Emeklilik Gozetim Merkezi</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2023-03-17T13:23:00Z</dcterms:created>
  <dcterms:modified xsi:type="dcterms:W3CDTF">2023-03-17T13:26:00Z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937091ff-cfe8-40d0-87ea-0b24a38e4970</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