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0675" w14:textId="11A6E780" w:rsidR="00323B9B" w:rsidRDefault="00323B9B" w:rsidP="00323B9B">
      <w:pPr>
        <w:spacing w:line="276" w:lineRule="auto"/>
        <w:rPr>
          <w:rFonts w:ascii="Arial" w:hAnsi="Arial" w:cs="Arial"/>
          <w:b/>
          <w:noProof w:val="0"/>
          <w:kern w:val="0"/>
          <w:position w:val="0"/>
          <w:sz w:val="20"/>
          <w:szCs w:val="20"/>
          <w:lang w:eastAsia="tr-TR"/>
        </w:rPr>
      </w:pPr>
      <w:bookmarkStart w:id="0" w:name="_Toc105418630"/>
      <w:r>
        <w:rPr>
          <w:rFonts w:ascii="Arial" w:hAnsi="Arial" w:cs="Arial"/>
          <w:b/>
          <w:noProof w:val="0"/>
          <w:kern w:val="0"/>
          <w:position w:val="0"/>
          <w:sz w:val="20"/>
          <w:szCs w:val="20"/>
          <w:lang w:eastAsia="tr-TR"/>
        </w:rPr>
        <w:t xml:space="preserve">Resmi Gazete No: </w:t>
      </w:r>
      <w:r>
        <w:rPr>
          <w:rFonts w:ascii="Arial" w:hAnsi="Arial" w:cs="Arial"/>
          <w:noProof w:val="0"/>
          <w:kern w:val="0"/>
          <w:position w:val="0"/>
          <w:sz w:val="20"/>
          <w:szCs w:val="20"/>
          <w:lang w:eastAsia="tr-TR"/>
        </w:rPr>
        <w:t>30712</w:t>
      </w:r>
    </w:p>
    <w:p w14:paraId="1855A986" w14:textId="0EF02CE7" w:rsidR="00323B9B" w:rsidRDefault="00323B9B" w:rsidP="00323B9B">
      <w:pPr>
        <w:spacing w:line="276" w:lineRule="auto"/>
        <w:rPr>
          <w:rFonts w:ascii="Arial" w:hAnsi="Arial" w:cs="Arial"/>
          <w:b/>
          <w:noProof w:val="0"/>
          <w:kern w:val="0"/>
          <w:position w:val="0"/>
          <w:sz w:val="20"/>
          <w:szCs w:val="20"/>
          <w:lang w:eastAsia="tr-TR"/>
        </w:rPr>
      </w:pPr>
      <w:r>
        <w:rPr>
          <w:rFonts w:ascii="Arial" w:hAnsi="Arial" w:cs="Arial"/>
          <w:b/>
          <w:noProof w:val="0"/>
          <w:kern w:val="0"/>
          <w:position w:val="0"/>
          <w:sz w:val="20"/>
          <w:szCs w:val="20"/>
          <w:lang w:eastAsia="tr-TR"/>
        </w:rPr>
        <w:t xml:space="preserve">Resmi Gazete Tarihi: </w:t>
      </w:r>
      <w:r>
        <w:rPr>
          <w:rFonts w:ascii="Arial" w:hAnsi="Arial" w:cs="Arial"/>
          <w:noProof w:val="0"/>
          <w:kern w:val="0"/>
          <w:position w:val="0"/>
          <w:sz w:val="20"/>
          <w:szCs w:val="20"/>
          <w:lang w:eastAsia="tr-TR"/>
        </w:rPr>
        <w:t>1</w:t>
      </w:r>
      <w:r>
        <w:rPr>
          <w:rFonts w:ascii="Arial" w:hAnsi="Arial" w:cs="Arial"/>
          <w:noProof w:val="0"/>
          <w:kern w:val="0"/>
          <w:position w:val="0"/>
          <w:sz w:val="20"/>
          <w:szCs w:val="20"/>
          <w:lang w:eastAsia="tr-TR"/>
        </w:rPr>
        <w:t>2</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Ma</w:t>
      </w:r>
      <w:r>
        <w:rPr>
          <w:rFonts w:ascii="Arial" w:hAnsi="Arial" w:cs="Arial"/>
          <w:noProof w:val="0"/>
          <w:kern w:val="0"/>
          <w:position w:val="0"/>
          <w:sz w:val="20"/>
          <w:szCs w:val="20"/>
          <w:lang w:eastAsia="tr-TR"/>
        </w:rPr>
        <w:t>rt</w:t>
      </w:r>
      <w:r w:rsidRPr="005534CA">
        <w:rPr>
          <w:rFonts w:ascii="Arial" w:hAnsi="Arial" w:cs="Arial"/>
          <w:noProof w:val="0"/>
          <w:kern w:val="0"/>
          <w:position w:val="0"/>
          <w:sz w:val="20"/>
          <w:szCs w:val="20"/>
          <w:lang w:eastAsia="tr-TR"/>
        </w:rPr>
        <w:t xml:space="preserve"> 20</w:t>
      </w:r>
      <w:r>
        <w:rPr>
          <w:rFonts w:ascii="Arial" w:hAnsi="Arial" w:cs="Arial"/>
          <w:noProof w:val="0"/>
          <w:kern w:val="0"/>
          <w:position w:val="0"/>
          <w:sz w:val="20"/>
          <w:szCs w:val="20"/>
          <w:lang w:eastAsia="tr-TR"/>
        </w:rPr>
        <w:t>1</w:t>
      </w:r>
      <w:r>
        <w:rPr>
          <w:rFonts w:ascii="Arial" w:hAnsi="Arial" w:cs="Arial"/>
          <w:noProof w:val="0"/>
          <w:kern w:val="0"/>
          <w:position w:val="0"/>
          <w:sz w:val="20"/>
          <w:szCs w:val="20"/>
          <w:lang w:eastAsia="tr-TR"/>
        </w:rPr>
        <w:t>9</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SALI</w:t>
      </w:r>
    </w:p>
    <w:p w14:paraId="29552630" w14:textId="77777777" w:rsidR="00323B9B" w:rsidRPr="00DD24CB" w:rsidRDefault="00323B9B" w:rsidP="00323B9B">
      <w:pPr>
        <w:spacing w:line="276" w:lineRule="auto"/>
        <w:rPr>
          <w:rFonts w:ascii="Arial" w:hAnsi="Arial" w:cs="Arial"/>
          <w:b/>
          <w:noProof w:val="0"/>
          <w:kern w:val="0"/>
          <w:position w:val="0"/>
          <w:sz w:val="20"/>
          <w:szCs w:val="20"/>
          <w:lang w:eastAsia="tr-TR"/>
        </w:rPr>
      </w:pPr>
    </w:p>
    <w:p w14:paraId="42A6D53B" w14:textId="3979A9D6" w:rsidR="00323B9B" w:rsidRDefault="00323B9B" w:rsidP="00323B9B">
      <w:pPr>
        <w:tabs>
          <w:tab w:val="left" w:pos="567"/>
        </w:tabs>
        <w:spacing w:line="276" w:lineRule="auto"/>
        <w:rPr>
          <w:rFonts w:ascii="Arial" w:hAnsi="Arial" w:cs="Arial"/>
          <w:b/>
          <w:noProof w:val="0"/>
          <w:kern w:val="0"/>
          <w:position w:val="0"/>
          <w:sz w:val="20"/>
          <w:szCs w:val="20"/>
          <w:u w:val="single"/>
          <w:lang w:eastAsia="tr-TR"/>
        </w:rPr>
      </w:pPr>
      <w:r>
        <w:rPr>
          <w:rFonts w:ascii="Arial" w:hAnsi="Arial" w:cs="Arial"/>
          <w:b/>
          <w:noProof w:val="0"/>
          <w:kern w:val="0"/>
          <w:position w:val="0"/>
          <w:sz w:val="20"/>
          <w:szCs w:val="20"/>
          <w:u w:val="single"/>
          <w:lang w:eastAsia="tr-TR"/>
        </w:rPr>
        <w:t>Sermaye Piyasası Kurulundan</w:t>
      </w:r>
      <w:r w:rsidRPr="003D070B">
        <w:rPr>
          <w:rFonts w:ascii="Arial" w:hAnsi="Arial" w:cs="Arial"/>
          <w:b/>
          <w:noProof w:val="0"/>
          <w:kern w:val="0"/>
          <w:position w:val="0"/>
          <w:sz w:val="20"/>
          <w:szCs w:val="20"/>
          <w:u w:val="single"/>
          <w:lang w:eastAsia="tr-TR"/>
        </w:rPr>
        <w:t>:</w:t>
      </w:r>
    </w:p>
    <w:p w14:paraId="1C886D30" w14:textId="77777777" w:rsidR="00323B9B" w:rsidRDefault="00323B9B" w:rsidP="00323B9B">
      <w:pPr>
        <w:pStyle w:val="Balk2"/>
      </w:pPr>
    </w:p>
    <w:p w14:paraId="6186013F" w14:textId="21573BA3" w:rsidR="00323B9B" w:rsidRDefault="00323B9B" w:rsidP="00323B9B">
      <w:pPr>
        <w:pStyle w:val="Balk2"/>
      </w:pPr>
      <w:r w:rsidRPr="0008283C">
        <w:t xml:space="preserve">YATIRIM FONLARINA İLİŞKİN </w:t>
      </w:r>
      <w:bookmarkStart w:id="1" w:name="_GoBack"/>
      <w:bookmarkEnd w:id="1"/>
      <w:r w:rsidRPr="0008283C">
        <w:t>ESASLAR TEBLİĞİ (III-52.1)’NDE DEĞİŞİKLİK YAPILMASINA DAİR TEBLİĞ (III-52.1.c)</w:t>
      </w:r>
      <w:bookmarkEnd w:id="0"/>
    </w:p>
    <w:p w14:paraId="2A97AFFC" w14:textId="77777777" w:rsidR="00323B9B" w:rsidRPr="00323B9B" w:rsidRDefault="00323B9B" w:rsidP="00323B9B">
      <w:pPr>
        <w:rPr>
          <w:lang w:eastAsia="tr-TR"/>
        </w:rPr>
      </w:pPr>
    </w:p>
    <w:p w14:paraId="6CEAA699"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b/>
          <w:noProof w:val="0"/>
          <w:color w:val="000000"/>
          <w:position w:val="0"/>
          <w:sz w:val="20"/>
          <w:szCs w:val="20"/>
        </w:rPr>
        <w:t>MADDE 1 – </w:t>
      </w:r>
      <w:r w:rsidRPr="00323B9B">
        <w:rPr>
          <w:rFonts w:ascii="Arial" w:eastAsiaTheme="minorHAnsi" w:hAnsi="Arial" w:cs="Arial"/>
          <w:noProof w:val="0"/>
          <w:color w:val="000000"/>
          <w:position w:val="0"/>
          <w:sz w:val="20"/>
          <w:szCs w:val="20"/>
        </w:rPr>
        <w:t>9/7/2013 tarihli ve 28702 sayılı Resmî Gazete’de yayımlanan Yatırım Fonlarına İlişkin Esaslar Tebliği (III-52.1)’nin 15 inci maddesinin altıncı fıkrası aşağıdaki şekilde değiştirilmiştir.</w:t>
      </w:r>
    </w:p>
    <w:p w14:paraId="01063E30"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noProof w:val="0"/>
          <w:color w:val="000000"/>
          <w:position w:val="0"/>
          <w:sz w:val="20"/>
          <w:szCs w:val="20"/>
        </w:rPr>
        <w:t>“(6) Kurucu ve/veya yönetici tarafından katılma paylarının fon adına alım satımı esastır. Kurucu, fonun katılma paylarını kendi portföyüne dahil edebilir ve katılma paylarının satışına başlanmadan önce kurucu ve/veya yönetici tarafından fona avans tahsis edilebilir.”</w:t>
      </w:r>
    </w:p>
    <w:p w14:paraId="678C5BA0"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b/>
          <w:noProof w:val="0"/>
          <w:color w:val="000000"/>
          <w:position w:val="0"/>
          <w:sz w:val="20"/>
          <w:szCs w:val="20"/>
        </w:rPr>
        <w:t>MADDE 2 –</w:t>
      </w:r>
      <w:r w:rsidRPr="00323B9B">
        <w:rPr>
          <w:rFonts w:ascii="Arial" w:eastAsiaTheme="minorHAnsi" w:hAnsi="Arial" w:cs="Arial"/>
          <w:noProof w:val="0"/>
          <w:color w:val="000000"/>
          <w:position w:val="0"/>
          <w:sz w:val="20"/>
          <w:szCs w:val="20"/>
        </w:rPr>
        <w:t> Aynı Tebliğin 17 nci maddesinin birinci fıkrasının (d) bendi aşağıdaki şekilde değiştirilmiştir.</w:t>
      </w:r>
    </w:p>
    <w:p w14:paraId="0EA3FF11"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noProof w:val="0"/>
          <w:color w:val="000000"/>
          <w:position w:val="0"/>
          <w:sz w:val="20"/>
          <w:szCs w:val="20"/>
        </w:rPr>
        <w:t>“d) TCMB, Hazine ve Maliye Bakanlığı, ipotek finansmanı kuruluşları ve Türkiye Varlık Fonu tarafından ihraç edilen para ve sermaye piyasası araçları için bu fıkrada yer alan sınırlamalar uygulanmaz. Ancak bu bent kapsamında tek bir varlığa yapılan yatırım, fon toplam değerinin %35’ini aşamaz.”</w:t>
      </w:r>
    </w:p>
    <w:p w14:paraId="447CEA5F"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b/>
          <w:noProof w:val="0"/>
          <w:color w:val="000000"/>
          <w:position w:val="0"/>
          <w:sz w:val="20"/>
          <w:szCs w:val="20"/>
        </w:rPr>
        <w:t>MADDE 3 – </w:t>
      </w:r>
      <w:r w:rsidRPr="00323B9B">
        <w:rPr>
          <w:rFonts w:ascii="Arial" w:eastAsiaTheme="minorHAnsi" w:hAnsi="Arial" w:cs="Arial"/>
          <w:noProof w:val="0"/>
          <w:color w:val="000000"/>
          <w:position w:val="0"/>
          <w:sz w:val="20"/>
          <w:szCs w:val="20"/>
        </w:rPr>
        <w:t>Aynı Tebliğin 24 üncü maddesine aşağıdaki fıkra eklenmiştir.</w:t>
      </w:r>
    </w:p>
    <w:p w14:paraId="07380506"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noProof w:val="0"/>
          <w:color w:val="000000"/>
          <w:position w:val="0"/>
          <w:sz w:val="20"/>
          <w:szCs w:val="20"/>
        </w:rPr>
        <w:t>“(6) Kurul, fon türü bazında fon portföyüne alınacak varlık ve işlemlere ilişkin olarak bu Tebliğde yer alan oranlardan farklı asgari ve/veya azami oranlar belirleyebilir.”</w:t>
      </w:r>
    </w:p>
    <w:p w14:paraId="0B2567BD"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b/>
          <w:noProof w:val="0"/>
          <w:color w:val="000000"/>
          <w:position w:val="0"/>
          <w:sz w:val="20"/>
          <w:szCs w:val="20"/>
        </w:rPr>
        <w:t>MADDE 4 – </w:t>
      </w:r>
      <w:r w:rsidRPr="00323B9B">
        <w:rPr>
          <w:rFonts w:ascii="Arial" w:eastAsiaTheme="minorHAnsi" w:hAnsi="Arial" w:cs="Arial"/>
          <w:noProof w:val="0"/>
          <w:color w:val="000000"/>
          <w:position w:val="0"/>
          <w:sz w:val="20"/>
          <w:szCs w:val="20"/>
        </w:rPr>
        <w:t>Aynı Tebliğin 33 üncü maddesine aşağıdaki fıkra eklenmiştir.</w:t>
      </w:r>
    </w:p>
    <w:p w14:paraId="350965BF" w14:textId="77777777" w:rsidR="00323B9B" w:rsidRPr="00323B9B" w:rsidRDefault="00323B9B" w:rsidP="00323B9B">
      <w:pPr>
        <w:widowControl w:val="0"/>
        <w:spacing w:line="276" w:lineRule="auto"/>
        <w:ind w:right="170"/>
        <w:rPr>
          <w:rFonts w:ascii="Arial" w:eastAsiaTheme="minorHAnsi" w:hAnsi="Arial" w:cs="Arial"/>
          <w:noProof w:val="0"/>
          <w:color w:val="000000"/>
          <w:position w:val="0"/>
          <w:sz w:val="20"/>
          <w:szCs w:val="20"/>
        </w:rPr>
      </w:pPr>
      <w:r w:rsidRPr="00323B9B">
        <w:rPr>
          <w:rFonts w:ascii="Arial" w:eastAsiaTheme="minorHAnsi" w:hAnsi="Arial" w:cs="Arial"/>
          <w:noProof w:val="0"/>
          <w:color w:val="000000"/>
          <w:position w:val="0"/>
          <w:sz w:val="20"/>
          <w:szCs w:val="20"/>
        </w:rPr>
        <w:t>“(6) Kurul, fon türü bazında yönetim ücretinin üst sınırını belirleyebilir.”</w:t>
      </w:r>
    </w:p>
    <w:p w14:paraId="4491310B" w14:textId="77777777" w:rsidR="00323B9B" w:rsidRPr="00323B9B" w:rsidRDefault="00323B9B" w:rsidP="00323B9B">
      <w:pPr>
        <w:widowControl w:val="0"/>
        <w:spacing w:line="276" w:lineRule="auto"/>
        <w:ind w:right="170"/>
        <w:rPr>
          <w:rFonts w:ascii="Arial" w:eastAsiaTheme="minorHAnsi" w:hAnsi="Arial" w:cs="Arial"/>
          <w:b/>
          <w:noProof w:val="0"/>
          <w:color w:val="000000"/>
          <w:position w:val="0"/>
          <w:sz w:val="20"/>
          <w:szCs w:val="20"/>
        </w:rPr>
      </w:pPr>
      <w:r w:rsidRPr="00323B9B">
        <w:rPr>
          <w:rFonts w:ascii="Arial" w:eastAsiaTheme="minorHAnsi" w:hAnsi="Arial" w:cs="Arial"/>
          <w:b/>
          <w:noProof w:val="0"/>
          <w:color w:val="000000"/>
          <w:position w:val="0"/>
          <w:sz w:val="20"/>
          <w:szCs w:val="20"/>
        </w:rPr>
        <w:t>MADDE 5 – </w:t>
      </w:r>
      <w:r w:rsidRPr="00323B9B">
        <w:rPr>
          <w:rFonts w:ascii="Arial" w:eastAsiaTheme="minorHAnsi" w:hAnsi="Arial" w:cs="Arial"/>
          <w:noProof w:val="0"/>
          <w:color w:val="000000"/>
          <w:position w:val="0"/>
          <w:sz w:val="20"/>
          <w:szCs w:val="20"/>
        </w:rPr>
        <w:t>Bu Tebliğ yayımı tarihinde yürürlüğe girer.</w:t>
      </w:r>
    </w:p>
    <w:p w14:paraId="0D1867BF" w14:textId="47EEE12F" w:rsidR="00626E7B" w:rsidRPr="00323B9B" w:rsidRDefault="00323B9B" w:rsidP="00323B9B">
      <w:pPr>
        <w:widowControl w:val="0"/>
        <w:spacing w:line="276" w:lineRule="auto"/>
        <w:ind w:right="170"/>
        <w:rPr>
          <w:rFonts w:ascii="Arial" w:eastAsiaTheme="minorHAnsi" w:hAnsi="Arial" w:cs="Arial"/>
          <w:b/>
          <w:noProof w:val="0"/>
          <w:color w:val="000000"/>
          <w:position w:val="0"/>
          <w:sz w:val="20"/>
          <w:szCs w:val="20"/>
        </w:rPr>
      </w:pPr>
      <w:r w:rsidRPr="00323B9B">
        <w:rPr>
          <w:rFonts w:ascii="Arial" w:eastAsiaTheme="minorHAnsi" w:hAnsi="Arial" w:cs="Arial"/>
          <w:b/>
          <w:noProof w:val="0"/>
          <w:color w:val="000000"/>
          <w:position w:val="0"/>
          <w:sz w:val="20"/>
          <w:szCs w:val="20"/>
        </w:rPr>
        <w:t>MADDE 6 – </w:t>
      </w:r>
      <w:r w:rsidRPr="00323B9B">
        <w:rPr>
          <w:rFonts w:ascii="Arial" w:eastAsiaTheme="minorHAnsi" w:hAnsi="Arial" w:cs="Arial"/>
          <w:noProof w:val="0"/>
          <w:color w:val="000000"/>
          <w:position w:val="0"/>
          <w:sz w:val="20"/>
          <w:szCs w:val="20"/>
        </w:rPr>
        <w:t>Bu Tebliğ hükümlerini Sermaye Piyasası Kurulu yürütür</w:t>
      </w:r>
      <w:r w:rsidRPr="00323B9B">
        <w:rPr>
          <w:rFonts w:ascii="Arial" w:eastAsiaTheme="minorHAnsi" w:hAnsi="Arial" w:cs="Arial"/>
          <w:noProof w:val="0"/>
          <w:color w:val="000000"/>
          <w:position w:val="0"/>
          <w:sz w:val="20"/>
          <w:szCs w:val="20"/>
        </w:rPr>
        <w:t>.</w:t>
      </w:r>
    </w:p>
    <w:sectPr w:rsidR="00626E7B" w:rsidRPr="00323B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6D3DE" w14:textId="77777777" w:rsidR="00323B9B" w:rsidRDefault="00323B9B" w:rsidP="00323B9B">
      <w:r>
        <w:separator/>
      </w:r>
    </w:p>
  </w:endnote>
  <w:endnote w:type="continuationSeparator" w:id="0">
    <w:p w14:paraId="09D644AB" w14:textId="77777777" w:rsidR="00323B9B" w:rsidRDefault="00323B9B" w:rsidP="0032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9FA8" w14:textId="425F0F37" w:rsidR="00323B9B" w:rsidRPr="00323B9B" w:rsidRDefault="00323B9B" w:rsidP="00323B9B">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bjFooterEvenPageDocProperty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75B8" w14:textId="4D017F68" w:rsidR="00323B9B" w:rsidRPr="00323B9B" w:rsidRDefault="00323B9B" w:rsidP="00323B9B">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bjFooterBothDocProperty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20D0" w14:textId="7DE89AAE" w:rsidR="00323B9B" w:rsidRPr="00323B9B" w:rsidRDefault="00323B9B" w:rsidP="00323B9B">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bjFooterFirstPageDocProperty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FD02" w14:textId="77777777" w:rsidR="00323B9B" w:rsidRDefault="00323B9B" w:rsidP="00323B9B">
      <w:r>
        <w:separator/>
      </w:r>
    </w:p>
  </w:footnote>
  <w:footnote w:type="continuationSeparator" w:id="0">
    <w:p w14:paraId="21314214" w14:textId="77777777" w:rsidR="00323B9B" w:rsidRDefault="00323B9B" w:rsidP="0032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85FA" w14:textId="77777777" w:rsidR="00323B9B" w:rsidRDefault="00323B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D2B1" w14:textId="77777777" w:rsidR="00323B9B" w:rsidRDefault="00323B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0613" w14:textId="77777777" w:rsidR="00323B9B" w:rsidRDefault="00323B9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36"/>
    <w:rsid w:val="00323B9B"/>
    <w:rsid w:val="004F4336"/>
    <w:rsid w:val="00626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92A77"/>
  <w15:chartTrackingRefBased/>
  <w15:docId w15:val="{6587CF4C-39C1-41C2-AACB-E1FAA8E2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B9B"/>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323B9B"/>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23B9B"/>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323B9B"/>
    <w:pPr>
      <w:tabs>
        <w:tab w:val="center" w:pos="4536"/>
        <w:tab w:val="right" w:pos="9072"/>
      </w:tabs>
    </w:pPr>
  </w:style>
  <w:style w:type="character" w:customStyle="1" w:styleId="stBilgiChar">
    <w:name w:val="Üst Bilgi Char"/>
    <w:basedOn w:val="VarsaylanParagrafYazTipi"/>
    <w:link w:val="stBilgi"/>
    <w:uiPriority w:val="99"/>
    <w:rsid w:val="00323B9B"/>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323B9B"/>
    <w:pPr>
      <w:tabs>
        <w:tab w:val="center" w:pos="4536"/>
        <w:tab w:val="right" w:pos="9072"/>
      </w:tabs>
    </w:pPr>
  </w:style>
  <w:style w:type="character" w:customStyle="1" w:styleId="AltBilgiChar">
    <w:name w:val="Alt Bilgi Char"/>
    <w:basedOn w:val="VarsaylanParagrafYazTipi"/>
    <w:link w:val="AltBilgi"/>
    <w:uiPriority w:val="99"/>
    <w:rsid w:val="00323B9B"/>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1975FF4-E11B-4CA8-862F-235631EDFD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1343</Characters>
  <Application>Microsoft Office Word</Application>
  <DocSecurity>0</DocSecurity>
  <Lines>11</Lines>
  <Paragraphs>3</Paragraphs>
  <ScaleCrop>false</ScaleCrop>
  <Company>Emeklilik Gozetim Merkezi</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2023-03-17T12:46:00Z</dcterms:created>
  <dcterms:modified xsi:type="dcterms:W3CDTF">2023-03-17T12:54:00Z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2e562202-b7f3-4adc-8767-c3b2cca89089</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