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C5216" w14:textId="77777777" w:rsidR="00323898" w:rsidRDefault="00323898" w:rsidP="00323898">
      <w:pPr>
        <w:pStyle w:val="Balk2"/>
      </w:pPr>
      <w:bookmarkStart w:id="0" w:name="_Hlk134191293"/>
      <w:r w:rsidRPr="00323898">
        <w:t>VERGİ KANUNLARI İLE BAZI KANUN VE KANUN HÜKMÜNDE KARARNAMELERDE DEĞİŞİKLİK YAPILMASI HAKKINDA KANUN</w:t>
      </w:r>
      <w:bookmarkEnd w:id="0"/>
    </w:p>
    <w:p w14:paraId="6D6427AA" w14:textId="1FEE3D58" w:rsidR="00323898" w:rsidRDefault="00323898" w:rsidP="00323898">
      <w:pPr>
        <w:pStyle w:val="Balk2"/>
      </w:pPr>
      <w:r>
        <w:t>(İ</w:t>
      </w:r>
      <w:r w:rsidRPr="00323898">
        <w:t xml:space="preserve">lgili </w:t>
      </w:r>
      <w:r>
        <w:t>Maddeler)</w:t>
      </w:r>
    </w:p>
    <w:p w14:paraId="11B40C39" w14:textId="77777777" w:rsidR="00323898" w:rsidRPr="00323898" w:rsidRDefault="00323898" w:rsidP="00323898">
      <w:pPr>
        <w:rPr>
          <w:lang w:eastAsia="tr-TR"/>
        </w:rPr>
      </w:pPr>
    </w:p>
    <w:p w14:paraId="79DA2983" w14:textId="7F7E8E4B" w:rsidR="00323898" w:rsidRPr="006A6CC2" w:rsidRDefault="00323898" w:rsidP="00323898">
      <w:pPr>
        <w:tabs>
          <w:tab w:val="left" w:pos="566"/>
          <w:tab w:val="right" w:pos="7671"/>
        </w:tabs>
        <w:spacing w:line="240" w:lineRule="exact"/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</w:pP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ab/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Kanun No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: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 xml:space="preserve"> 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7103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ab/>
      </w:r>
      <w:r w:rsidR="00857AFD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 xml:space="preserve"> 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 xml:space="preserve">Kabul Tarihi: 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21</w:t>
      </w:r>
      <w:r w:rsidR="00857AFD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.0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3</w:t>
      </w:r>
      <w:r w:rsidR="00857AFD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.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201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8</w:t>
      </w:r>
    </w:p>
    <w:p w14:paraId="41777C74" w14:textId="3525C54A" w:rsidR="00323898" w:rsidRPr="006A6CC2" w:rsidRDefault="00323898" w:rsidP="00323898">
      <w:pPr>
        <w:tabs>
          <w:tab w:val="left" w:pos="566"/>
          <w:tab w:val="right" w:pos="7671"/>
        </w:tabs>
        <w:spacing w:line="240" w:lineRule="exact"/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</w:pP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ab/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Resmi Gazete Tarihi: 27.03.2018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 xml:space="preserve">                                 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Resmi Gazete No: 30373/2</w:t>
      </w:r>
      <w:r>
        <w:rPr>
          <w:rFonts w:ascii="Arial" w:eastAsia="ヒラギノ明朝 Pro W3" w:hAnsi="Arial" w:cs="Arial"/>
          <w:noProof w:val="0"/>
          <w:color w:val="000000"/>
          <w:kern w:val="0"/>
          <w:position w:val="0"/>
          <w:sz w:val="20"/>
          <w:szCs w:val="20"/>
        </w:rPr>
        <w:tab/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 xml:space="preserve"> </w:t>
      </w:r>
    </w:p>
    <w:p w14:paraId="2D92473F" w14:textId="619D3EB5" w:rsidR="00323898" w:rsidRPr="00323898" w:rsidRDefault="00323898" w:rsidP="00323898">
      <w:pPr>
        <w:pStyle w:val="Balk2"/>
      </w:pPr>
      <w:r w:rsidRPr="00323898">
        <w:t xml:space="preserve"> </w:t>
      </w:r>
    </w:p>
    <w:p w14:paraId="5FC418B9" w14:textId="77777777" w:rsidR="00323898" w:rsidRPr="00323898" w:rsidRDefault="00323898" w:rsidP="00323898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323898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45-</w:t>
      </w:r>
      <w:r w:rsidRPr="00323898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28/3/2001 tarihli ve 4632 sayılı Bireysel Emeklilik Tasarruf ve Yatırım Sistemi Kanununun ek 2 nci maddesinin üçüncü fıkrasının ilk cümlesinden sonra gelmek üzere aşağıdaki cümle eklenmiş, dördüncü fıkrası yürürlükten kaldırılmış ve yedinci fıkrası aşağıdaki şekilde değiştirilmiştir.</w:t>
      </w:r>
    </w:p>
    <w:p w14:paraId="00F54D13" w14:textId="77777777" w:rsidR="00323898" w:rsidRPr="00323898" w:rsidRDefault="00323898" w:rsidP="00323898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323898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“Bu süreyi üç katına kadar artırmaya Bakanlar Kurulu yetkilidir.”</w:t>
      </w:r>
    </w:p>
    <w:p w14:paraId="5D9A798A" w14:textId="77777777" w:rsidR="00323898" w:rsidRPr="00323898" w:rsidRDefault="00323898" w:rsidP="00323898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323898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“Bakan, belirleyeceği esaslar dâhilinde, bu Kanun kapsamında sağlanan Devlet katkısının, ilgililerin hesaben takip edebilmesini sağlayacak şekilde taahhüt olarak hesaplanmasına, taahhüt olarak hesaplanan bu tutarların nemalandırılmasına ve ek 1 inci maddede belirtilen hak kazanma koşulları dikkate alınarak nemalarıyla birlikte ödenmesine karar vermeye; bu Kanun kapsamında sağlanan Devlet katkısının nemalandırılmasına, bin Türk lirası tutarındaki ilave Devlet katkısının yıllar itibarıyla yeniden değerlemesine ve ek devlet katkısının azami limi</w:t>
      </w:r>
      <w:bookmarkStart w:id="1" w:name="_GoBack"/>
      <w:bookmarkEnd w:id="1"/>
      <w:r w:rsidRPr="00323898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ti ile iade edilmesine ilişkin usul ve esasları belirlemeye yetkilidir. Bu Kanun uyarınca yapılacak bildirimler, Müsteşarlığın belirleyeceği usul ve esaslar çerçevesinde güvenli elektronik iletişim araçları ile de yapılabilir.”</w:t>
      </w:r>
    </w:p>
    <w:p w14:paraId="290E97DB" w14:textId="77777777" w:rsidR="00626E7B" w:rsidRPr="00323898" w:rsidRDefault="00626E7B">
      <w:pPr>
        <w:rPr>
          <w:rFonts w:ascii="Arial" w:hAnsi="Arial" w:cs="Arial"/>
          <w:sz w:val="20"/>
          <w:szCs w:val="20"/>
        </w:rPr>
      </w:pPr>
    </w:p>
    <w:sectPr w:rsidR="00626E7B" w:rsidRPr="00323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51A43" w14:textId="77777777" w:rsidR="00323898" w:rsidRDefault="00323898" w:rsidP="00323898">
      <w:r>
        <w:separator/>
      </w:r>
    </w:p>
  </w:endnote>
  <w:endnote w:type="continuationSeparator" w:id="0">
    <w:p w14:paraId="66C7A234" w14:textId="77777777" w:rsidR="00323898" w:rsidRDefault="00323898" w:rsidP="0032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4E094" w14:textId="430928A7" w:rsidR="00323898" w:rsidRPr="00857AFD" w:rsidRDefault="00857AFD" w:rsidP="00857AFD">
    <w:pPr>
      <w:pStyle w:val="AltBilgi"/>
      <w:jc w:val="left"/>
    </w:pP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instrText xml:space="preserve"> DOCPROPERTY bjFooterEvenPageDocProperty \* MERGEFORMAT </w:instrTex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separate"/>
    </w:r>
    <w:r w:rsidRPr="006A6CC2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6A6CC2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59C49" w14:textId="63C7E8AC" w:rsidR="00323898" w:rsidRPr="00857AFD" w:rsidRDefault="00857AFD" w:rsidP="00857AFD">
    <w:pPr>
      <w:pStyle w:val="AltBilgi"/>
      <w:jc w:val="left"/>
    </w:pP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instrText xml:space="preserve"> DOCPROPERTY bjFooterBothDocProperty \* MERGEFORMAT </w:instrTex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separate"/>
    </w:r>
    <w:r w:rsidRPr="006A6CC2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6A6CC2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F4C8A" w14:textId="3E4BD9B7" w:rsidR="00323898" w:rsidRPr="00857AFD" w:rsidRDefault="00857AFD" w:rsidP="00857AFD">
    <w:pPr>
      <w:pStyle w:val="AltBilgi"/>
      <w:jc w:val="left"/>
    </w:pP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instrText xml:space="preserve"> DOCPROPERTY bjFooterFirstPageDocProperty \* MERGEFORMAT </w:instrTex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separate"/>
    </w:r>
    <w:r w:rsidRPr="006A6CC2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6A6CC2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1BFE8" w14:textId="77777777" w:rsidR="00323898" w:rsidRDefault="00323898" w:rsidP="00323898">
      <w:r>
        <w:separator/>
      </w:r>
    </w:p>
  </w:footnote>
  <w:footnote w:type="continuationSeparator" w:id="0">
    <w:p w14:paraId="10E6E506" w14:textId="77777777" w:rsidR="00323898" w:rsidRDefault="00323898" w:rsidP="0032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ECD74" w14:textId="77777777" w:rsidR="00323898" w:rsidRDefault="003238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4660E" w14:textId="77777777" w:rsidR="00323898" w:rsidRDefault="003238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6130" w14:textId="77777777" w:rsidR="00323898" w:rsidRDefault="003238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B6"/>
    <w:rsid w:val="00323898"/>
    <w:rsid w:val="00626E7B"/>
    <w:rsid w:val="00857AFD"/>
    <w:rsid w:val="00E4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9596DB"/>
  <w15:chartTrackingRefBased/>
  <w15:docId w15:val="{19F33089-1BEE-44D7-9A22-15FE0CB5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898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323898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23898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2389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3898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2389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3898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74A26536-B9D5-4B48-BF7C-4C422706807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3</cp:revision>
  <cp:lastPrinted>2023-05-05T14:56:00Z</cp:lastPrinted>
  <dcterms:created xsi:type="dcterms:W3CDTF">2023-05-05T13:17:00Z</dcterms:created>
  <dcterms:modified xsi:type="dcterms:W3CDTF">2023-05-05T14:56:00Z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f27b80b9-ebe3-4c0a-9057-193a45b61193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