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D8A49" w14:textId="25E4B333" w:rsidR="00EC364D" w:rsidRPr="00EC364D" w:rsidRDefault="00EC364D" w:rsidP="00EC364D">
      <w:pPr>
        <w:pStyle w:val="Balk2"/>
      </w:pPr>
      <w:bookmarkStart w:id="0" w:name="_Toc108080578"/>
      <w:bookmarkStart w:id="1" w:name="_Toc10203299"/>
      <w:bookmarkStart w:id="2" w:name="_Hlk134190242"/>
      <w:r w:rsidRPr="00EC364D">
        <w:t>TÜRKİYE CUMHURİYETİ EMEKLİ SANDIĞI KANUNU İLE BAZI KANUN VE KANUN HÜKMÜNDE KARARNAMELERDE DEĞİŞİKLİK YAPILMASINA DAİR  KANUN</w:t>
      </w:r>
      <w:bookmarkEnd w:id="0"/>
      <w:bookmarkEnd w:id="1"/>
    </w:p>
    <w:p w14:paraId="51BB7DB9" w14:textId="525E32D1" w:rsidR="00EC364D" w:rsidRDefault="00EC364D" w:rsidP="00EC364D">
      <w:pPr>
        <w:jc w:val="center"/>
        <w:rPr>
          <w:rFonts w:ascii="Arial" w:hAnsi="Arial" w:cs="Arial"/>
          <w:b/>
          <w:lang w:eastAsia="tr-TR"/>
        </w:rPr>
      </w:pPr>
      <w:r w:rsidRPr="00EC364D">
        <w:rPr>
          <w:rFonts w:ascii="Arial" w:hAnsi="Arial" w:cs="Arial"/>
          <w:b/>
          <w:lang w:eastAsia="tr-TR"/>
        </w:rPr>
        <w:t>(İlgili Maddeler)</w:t>
      </w:r>
    </w:p>
    <w:p w14:paraId="1D594FBE" w14:textId="249F622C" w:rsidR="00EC364D" w:rsidRPr="006A6CC2" w:rsidRDefault="00EC364D" w:rsidP="00EC364D">
      <w:pPr>
        <w:tabs>
          <w:tab w:val="left" w:pos="566"/>
          <w:tab w:val="right" w:pos="7671"/>
        </w:tabs>
        <w:spacing w:line="240" w:lineRule="exact"/>
        <w:rPr>
          <w:rFonts w:ascii="Arial" w:eastAsia="ヒラギノ明朝 Pro W3" w:hAnsi="Arial" w:cs="Arial"/>
          <w:b/>
          <w:noProof w:val="0"/>
          <w:color w:val="000000"/>
          <w:kern w:val="0"/>
          <w:position w:val="0"/>
          <w:sz w:val="20"/>
          <w:szCs w:val="20"/>
          <w:u w:val="single"/>
        </w:rPr>
      </w:pPr>
      <w:r>
        <w:rPr>
          <w:rFonts w:ascii="Arial" w:eastAsia="ヒラギノ明朝 Pro W3" w:hAnsi="Arial" w:cs="Arial"/>
          <w:b/>
          <w:noProof w:val="0"/>
          <w:color w:val="000000"/>
          <w:kern w:val="0"/>
          <w:position w:val="0"/>
          <w:sz w:val="20"/>
          <w:szCs w:val="20"/>
        </w:rPr>
        <w:tab/>
      </w:r>
      <w:r w:rsidRPr="006A6CC2">
        <w:rPr>
          <w:rFonts w:ascii="Arial" w:eastAsia="ヒラギノ明朝 Pro W3" w:hAnsi="Arial" w:cs="Arial"/>
          <w:b/>
          <w:noProof w:val="0"/>
          <w:color w:val="000000"/>
          <w:kern w:val="0"/>
          <w:position w:val="0"/>
          <w:sz w:val="20"/>
          <w:szCs w:val="20"/>
          <w:u w:val="single"/>
        </w:rPr>
        <w:t>Kanun No</w:t>
      </w:r>
      <w:r>
        <w:rPr>
          <w:rFonts w:ascii="Arial" w:eastAsia="ヒラギノ明朝 Pro W3" w:hAnsi="Arial" w:cs="Arial"/>
          <w:b/>
          <w:noProof w:val="0"/>
          <w:color w:val="000000"/>
          <w:kern w:val="0"/>
          <w:position w:val="0"/>
          <w:sz w:val="20"/>
          <w:szCs w:val="20"/>
          <w:u w:val="single"/>
        </w:rPr>
        <w:t>:</w:t>
      </w:r>
      <w:r w:rsidRPr="006A6CC2">
        <w:rPr>
          <w:rFonts w:ascii="Arial" w:eastAsia="ヒラギノ明朝 Pro W3" w:hAnsi="Arial" w:cs="Arial"/>
          <w:b/>
          <w:noProof w:val="0"/>
          <w:color w:val="000000"/>
          <w:kern w:val="0"/>
          <w:position w:val="0"/>
          <w:sz w:val="20"/>
          <w:szCs w:val="20"/>
          <w:u w:val="single"/>
        </w:rPr>
        <w:t xml:space="preserve"> 6</w:t>
      </w:r>
      <w:r>
        <w:rPr>
          <w:rFonts w:ascii="Arial" w:eastAsia="ヒラギノ明朝 Pro W3" w:hAnsi="Arial" w:cs="Arial"/>
          <w:b/>
          <w:noProof w:val="0"/>
          <w:color w:val="000000"/>
          <w:kern w:val="0"/>
          <w:position w:val="0"/>
          <w:sz w:val="20"/>
          <w:szCs w:val="20"/>
          <w:u w:val="single"/>
        </w:rPr>
        <w:t>770</w:t>
      </w:r>
      <w:r w:rsidRPr="006A6CC2">
        <w:rPr>
          <w:rFonts w:ascii="Arial" w:eastAsia="ヒラギノ明朝 Pro W3" w:hAnsi="Arial" w:cs="Arial"/>
          <w:b/>
          <w:noProof w:val="0"/>
          <w:color w:val="000000"/>
          <w:kern w:val="0"/>
          <w:position w:val="0"/>
          <w:sz w:val="20"/>
          <w:szCs w:val="20"/>
        </w:rPr>
        <w:tab/>
      </w:r>
      <w:r>
        <w:rPr>
          <w:rFonts w:ascii="Arial" w:eastAsia="ヒラギノ明朝 Pro W3" w:hAnsi="Arial" w:cs="Arial"/>
          <w:b/>
          <w:noProof w:val="0"/>
          <w:color w:val="000000"/>
          <w:kern w:val="0"/>
          <w:position w:val="0"/>
          <w:sz w:val="20"/>
          <w:szCs w:val="20"/>
        </w:rPr>
        <w:t xml:space="preserve">    </w:t>
      </w:r>
      <w:r w:rsidRPr="006A6CC2">
        <w:rPr>
          <w:rFonts w:ascii="Arial" w:eastAsia="ヒラギノ明朝 Pro W3" w:hAnsi="Arial" w:cs="Arial"/>
          <w:b/>
          <w:noProof w:val="0"/>
          <w:color w:val="000000"/>
          <w:kern w:val="0"/>
          <w:position w:val="0"/>
          <w:sz w:val="20"/>
          <w:szCs w:val="20"/>
          <w:u w:val="single"/>
        </w:rPr>
        <w:t>Kabul Tarihi: 1</w:t>
      </w:r>
      <w:r>
        <w:rPr>
          <w:rFonts w:ascii="Arial" w:eastAsia="ヒラギノ明朝 Pro W3" w:hAnsi="Arial" w:cs="Arial"/>
          <w:b/>
          <w:noProof w:val="0"/>
          <w:color w:val="000000"/>
          <w:kern w:val="0"/>
          <w:position w:val="0"/>
          <w:sz w:val="20"/>
          <w:szCs w:val="20"/>
          <w:u w:val="single"/>
        </w:rPr>
        <w:t>8</w:t>
      </w:r>
      <w:r w:rsidR="00F32A61">
        <w:rPr>
          <w:rFonts w:ascii="Arial" w:eastAsia="ヒラギノ明朝 Pro W3" w:hAnsi="Arial" w:cs="Arial"/>
          <w:b/>
          <w:noProof w:val="0"/>
          <w:color w:val="000000"/>
          <w:kern w:val="0"/>
          <w:position w:val="0"/>
          <w:sz w:val="20"/>
          <w:szCs w:val="20"/>
          <w:u w:val="single"/>
        </w:rPr>
        <w:t>.</w:t>
      </w:r>
      <w:bookmarkStart w:id="3" w:name="_GoBack"/>
      <w:bookmarkEnd w:id="3"/>
      <w:r>
        <w:rPr>
          <w:rFonts w:ascii="Arial" w:eastAsia="ヒラギノ明朝 Pro W3" w:hAnsi="Arial" w:cs="Arial"/>
          <w:b/>
          <w:noProof w:val="0"/>
          <w:color w:val="000000"/>
          <w:kern w:val="0"/>
          <w:position w:val="0"/>
          <w:sz w:val="20"/>
          <w:szCs w:val="20"/>
          <w:u w:val="single"/>
        </w:rPr>
        <w:t>01</w:t>
      </w:r>
      <w:r w:rsidR="00F32A61">
        <w:rPr>
          <w:rFonts w:ascii="Arial" w:eastAsia="ヒラギノ明朝 Pro W3" w:hAnsi="Arial" w:cs="Arial"/>
          <w:b/>
          <w:noProof w:val="0"/>
          <w:color w:val="000000"/>
          <w:kern w:val="0"/>
          <w:position w:val="0"/>
          <w:sz w:val="20"/>
          <w:szCs w:val="20"/>
          <w:u w:val="single"/>
        </w:rPr>
        <w:t>.</w:t>
      </w:r>
      <w:r w:rsidRPr="006A6CC2">
        <w:rPr>
          <w:rFonts w:ascii="Arial" w:eastAsia="ヒラギノ明朝 Pro W3" w:hAnsi="Arial" w:cs="Arial"/>
          <w:b/>
          <w:noProof w:val="0"/>
          <w:color w:val="000000"/>
          <w:kern w:val="0"/>
          <w:position w:val="0"/>
          <w:sz w:val="20"/>
          <w:szCs w:val="20"/>
          <w:u w:val="single"/>
        </w:rPr>
        <w:t>201</w:t>
      </w:r>
      <w:r>
        <w:rPr>
          <w:rFonts w:ascii="Arial" w:eastAsia="ヒラギノ明朝 Pro W3" w:hAnsi="Arial" w:cs="Arial"/>
          <w:b/>
          <w:noProof w:val="0"/>
          <w:color w:val="000000"/>
          <w:kern w:val="0"/>
          <w:position w:val="0"/>
          <w:sz w:val="20"/>
          <w:szCs w:val="20"/>
          <w:u w:val="single"/>
        </w:rPr>
        <w:t>7</w:t>
      </w:r>
    </w:p>
    <w:p w14:paraId="02D04FA0" w14:textId="78E524DF" w:rsidR="00EC364D" w:rsidRDefault="00EC364D" w:rsidP="00EC364D">
      <w:pPr>
        <w:ind w:firstLine="340"/>
        <w:rPr>
          <w:rFonts w:ascii="Arial" w:eastAsia="ヒラギノ明朝 Pro W3" w:hAnsi="Arial" w:cs="Arial"/>
          <w:b/>
          <w:noProof w:val="0"/>
          <w:color w:val="000000"/>
          <w:kern w:val="0"/>
          <w:position w:val="0"/>
          <w:sz w:val="20"/>
          <w:szCs w:val="20"/>
          <w:u w:val="single"/>
        </w:rPr>
      </w:pPr>
      <w:r>
        <w:rPr>
          <w:rFonts w:ascii="Arial" w:eastAsia="ヒラギノ明朝 Pro W3" w:hAnsi="Arial" w:cs="Arial"/>
          <w:b/>
          <w:noProof w:val="0"/>
          <w:color w:val="000000"/>
          <w:kern w:val="0"/>
          <w:position w:val="0"/>
          <w:sz w:val="20"/>
          <w:szCs w:val="20"/>
        </w:rPr>
        <w:t xml:space="preserve">    </w:t>
      </w:r>
      <w:r>
        <w:rPr>
          <w:rFonts w:ascii="Arial" w:eastAsia="ヒラギノ明朝 Pro W3" w:hAnsi="Arial" w:cs="Arial"/>
          <w:b/>
          <w:noProof w:val="0"/>
          <w:color w:val="000000"/>
          <w:kern w:val="0"/>
          <w:position w:val="0"/>
          <w:sz w:val="20"/>
          <w:szCs w:val="20"/>
          <w:u w:val="single"/>
        </w:rPr>
        <w:t>Resmi Gazete Tarihi: 27.01.2017</w:t>
      </w:r>
      <w:r>
        <w:rPr>
          <w:rFonts w:ascii="Arial" w:eastAsia="ヒラギノ明朝 Pro W3" w:hAnsi="Arial" w:cs="Arial"/>
          <w:b/>
          <w:noProof w:val="0"/>
          <w:color w:val="000000"/>
          <w:kern w:val="0"/>
          <w:position w:val="0"/>
          <w:sz w:val="20"/>
          <w:szCs w:val="20"/>
        </w:rPr>
        <w:t xml:space="preserve">                                 </w:t>
      </w:r>
      <w:r>
        <w:rPr>
          <w:rFonts w:ascii="Arial" w:eastAsia="ヒラギノ明朝 Pro W3" w:hAnsi="Arial" w:cs="Arial"/>
          <w:b/>
          <w:noProof w:val="0"/>
          <w:color w:val="000000"/>
          <w:kern w:val="0"/>
          <w:position w:val="0"/>
          <w:sz w:val="20"/>
          <w:szCs w:val="20"/>
          <w:u w:val="single"/>
        </w:rPr>
        <w:t>Resmi Gazete No: 29961</w:t>
      </w:r>
    </w:p>
    <w:p w14:paraId="09C48955" w14:textId="77777777" w:rsidR="00EC364D" w:rsidRPr="00EC364D" w:rsidRDefault="00EC364D" w:rsidP="00EC364D">
      <w:pPr>
        <w:ind w:firstLine="340"/>
        <w:rPr>
          <w:rFonts w:ascii="Arial" w:hAnsi="Arial" w:cs="Arial"/>
          <w:b/>
          <w:lang w:eastAsia="tr-TR"/>
        </w:rPr>
      </w:pPr>
    </w:p>
    <w:bookmarkEnd w:id="2"/>
    <w:p w14:paraId="5B93AA22" w14:textId="77777777" w:rsidR="00EC364D" w:rsidRPr="00EC364D" w:rsidRDefault="00EC364D" w:rsidP="00EC364D">
      <w:pPr>
        <w:spacing w:line="276" w:lineRule="auto"/>
        <w:ind w:left="170"/>
        <w:rPr>
          <w:rFonts w:ascii="Arial" w:eastAsiaTheme="minorHAnsi" w:hAnsi="Arial" w:cs="Arial"/>
          <w:noProof w:val="0"/>
          <w:color w:val="000000"/>
          <w:kern w:val="0"/>
          <w:position w:val="0"/>
          <w:sz w:val="20"/>
          <w:szCs w:val="20"/>
          <w:lang w:eastAsia="tr-TR"/>
        </w:rPr>
      </w:pPr>
      <w:r w:rsidRPr="00EC364D">
        <w:rPr>
          <w:rFonts w:ascii="Arial" w:eastAsiaTheme="minorHAnsi" w:hAnsi="Arial" w:cs="Arial"/>
          <w:b/>
          <w:noProof w:val="0"/>
          <w:color w:val="000000"/>
          <w:kern w:val="0"/>
          <w:position w:val="0"/>
          <w:sz w:val="20"/>
          <w:szCs w:val="20"/>
          <w:lang w:eastAsia="tr-TR"/>
        </w:rPr>
        <w:t>MADDE 17-</w:t>
      </w:r>
      <w:r w:rsidRPr="00EC364D">
        <w:rPr>
          <w:rFonts w:ascii="Arial" w:eastAsiaTheme="minorHAnsi" w:hAnsi="Arial" w:cs="Arial"/>
          <w:noProof w:val="0"/>
          <w:color w:val="000000"/>
          <w:kern w:val="0"/>
          <w:position w:val="0"/>
          <w:sz w:val="20"/>
          <w:szCs w:val="20"/>
          <w:lang w:eastAsia="tr-TR"/>
        </w:rPr>
        <w:t xml:space="preserve"> 28/3/2001 tarihli ve 4632 sayılı Bireysel Emeklilik Tasarruf ve Yatırım Sistemi Kanununun ek 1 inci maddesine aşağıdaki fıkra eklenmiştir.</w:t>
      </w:r>
    </w:p>
    <w:p w14:paraId="4AF2BF21" w14:textId="77777777" w:rsidR="00EC364D" w:rsidRPr="00EC364D" w:rsidRDefault="00EC364D" w:rsidP="00EC364D">
      <w:pPr>
        <w:spacing w:line="276" w:lineRule="auto"/>
        <w:ind w:left="170"/>
        <w:rPr>
          <w:rFonts w:ascii="Arial" w:eastAsiaTheme="minorHAnsi" w:hAnsi="Arial" w:cs="Arial"/>
          <w:noProof w:val="0"/>
          <w:color w:val="000000"/>
          <w:kern w:val="0"/>
          <w:position w:val="0"/>
          <w:sz w:val="20"/>
          <w:szCs w:val="20"/>
          <w:lang w:eastAsia="tr-TR"/>
        </w:rPr>
      </w:pPr>
      <w:r w:rsidRPr="00EC364D">
        <w:rPr>
          <w:rFonts w:ascii="Arial" w:eastAsiaTheme="minorHAnsi" w:hAnsi="Arial" w:cs="Arial"/>
          <w:noProof w:val="0"/>
          <w:color w:val="000000"/>
          <w:kern w:val="0"/>
          <w:position w:val="0"/>
          <w:sz w:val="20"/>
          <w:szCs w:val="20"/>
          <w:lang w:eastAsia="tr-TR"/>
        </w:rPr>
        <w:t>“Katkı payının şirket hesaplarına nakden intikal ettiği tarihten önceki bir tarihte Devlet katkısı hesaplamasına konu edilmesi nedeniyle erken ödenen Devlet katkısı tutarlarına, Devlet katkısının Müsteşarlıkça fiilen ödendiği tarih ile ödenmesi gereken tarih arasındaki süre için, emeklilik gözetim merkezi tarafından 6183 sayılı Kanunun 51 inci maddesinde belirtilen gecikme zammı oranı esas alınarak gecikme bedeli hesaplanır. Hesaplanan bedelin, Devlet katkısının Müsteşarlıkça ödenmesi gereken tarihten şirketin ödeme yaptığı tarihe kadar 6183 sayılı Kanunun 51 inci maddesinde belirtilen gecikme zammı oranına göre hesaplanan faiziyle birlikte ilgili vergi dairesine ödenmesi gerektiği hususu emeklilik gözetim merkezi tarafından şirkete ve 6183 sayılı Kanun hükümlerine göre gerekli takibatın yapılması amacıyla durum şirketin bağlı olduğu vergi dairesine bildirilir.”</w:t>
      </w:r>
    </w:p>
    <w:p w14:paraId="403E46D9" w14:textId="77777777" w:rsidR="00EC364D" w:rsidRDefault="00EC364D" w:rsidP="00EC364D">
      <w:pPr>
        <w:spacing w:line="276" w:lineRule="auto"/>
        <w:ind w:left="170"/>
        <w:rPr>
          <w:rFonts w:ascii="Arial" w:eastAsiaTheme="minorHAnsi" w:hAnsi="Arial" w:cs="Arial"/>
          <w:noProof w:val="0"/>
          <w:color w:val="000000"/>
          <w:kern w:val="0"/>
          <w:position w:val="0"/>
          <w:sz w:val="20"/>
          <w:szCs w:val="20"/>
          <w:lang w:eastAsia="tr-TR"/>
        </w:rPr>
      </w:pPr>
    </w:p>
    <w:p w14:paraId="5D9B3A97" w14:textId="2BB0FF48" w:rsidR="00EC364D" w:rsidRPr="00EC364D" w:rsidRDefault="00EC364D" w:rsidP="00EC364D">
      <w:pPr>
        <w:spacing w:line="276" w:lineRule="auto"/>
        <w:ind w:left="170"/>
        <w:rPr>
          <w:rFonts w:ascii="Arial" w:eastAsiaTheme="minorHAnsi" w:hAnsi="Arial" w:cs="Arial"/>
          <w:noProof w:val="0"/>
          <w:color w:val="000000"/>
          <w:kern w:val="0"/>
          <w:position w:val="0"/>
          <w:sz w:val="20"/>
          <w:szCs w:val="20"/>
          <w:lang w:eastAsia="tr-TR"/>
        </w:rPr>
      </w:pPr>
      <w:r w:rsidRPr="00EC364D">
        <w:rPr>
          <w:rFonts w:ascii="Arial" w:eastAsiaTheme="minorHAnsi" w:hAnsi="Arial" w:cs="Arial"/>
          <w:b/>
          <w:noProof w:val="0"/>
          <w:color w:val="000000"/>
          <w:kern w:val="0"/>
          <w:position w:val="0"/>
          <w:sz w:val="20"/>
          <w:szCs w:val="20"/>
          <w:lang w:eastAsia="tr-TR"/>
        </w:rPr>
        <w:t>MADDE 18-</w:t>
      </w:r>
      <w:r w:rsidRPr="00EC364D">
        <w:rPr>
          <w:rFonts w:ascii="Arial" w:eastAsiaTheme="minorHAnsi" w:hAnsi="Arial" w:cs="Arial"/>
          <w:noProof w:val="0"/>
          <w:color w:val="000000"/>
          <w:kern w:val="0"/>
          <w:position w:val="0"/>
          <w:sz w:val="20"/>
          <w:szCs w:val="20"/>
          <w:lang w:eastAsia="tr-TR"/>
        </w:rPr>
        <w:t xml:space="preserve"> 4632 sayılı Kanunun ek 2 nci maddesinin birinci fıkrasının ilk cümlesi “Türk vatandaşı veya 29/5/2009 tarihli ve 5901 sayılı Türk Vatandaşlığı Kanununun 28 inci maddesi kapsamında olup kırk beş yaşını doldurmamış olanlardan; 31/5/2006 tarihli ve 5510 sayılı Sosyal Sigortalar ve Genel Sağlık Sigortası Kanununun 4 üncü maddesinin birinci fıkrasının (a) ve (c) bentlerine göre çalışmaya başlayanlar ile 17/7/1964 tarihli ve 506 sayılı Sosyal Sigortalar Kanununun geçici 20 nci maddesi kapsamında kurulmuş olan sandıkların iştirakçisi olarak çalışmaya başlayanlar, işverenin bu Kanun hükümlerine göre düzenlediği bir emeklilik sözleşmesiyle emeklilik planına dâhil edilir.” şeklinde değiştirilmiş, aynı maddenin ikinci fıkrasının ilk cümlesinden sonra gelmek üzere “506 sayılı Kanunun geçici 20 nci maddesi kapsamında kurulmuş olan sandıkların iştirakçisi olan çalışanlar için bu çalışanların bağlı bulunduğu sandığa, katılım payı, kesenek veya diğer adlar altında ödediği tutarların hesaplanmasına esas kazancının yüzde üçüne karşılık gelen tutardır.” cümlesi eklenmiş ve aynı maddenin beşinci fıkrasında yer alan “Bankalar, Sosyal Güvenlik Kurumu” ibaresinden sonra gelmek üzere “, 506 sayılı Kanunun geçici 20 nci maddesi kapsamındaki sandıklar ile bunların ilgili bulundukları kuruluşlar” ibaresi eklenmiştir.</w:t>
      </w:r>
    </w:p>
    <w:p w14:paraId="57D8BA4E" w14:textId="77777777" w:rsidR="00EC364D" w:rsidRDefault="00EC364D" w:rsidP="00EC364D">
      <w:pPr>
        <w:spacing w:line="276" w:lineRule="auto"/>
        <w:ind w:left="170"/>
        <w:rPr>
          <w:rFonts w:ascii="Arial" w:eastAsiaTheme="minorHAnsi" w:hAnsi="Arial" w:cs="Arial"/>
          <w:noProof w:val="0"/>
          <w:color w:val="000000"/>
          <w:kern w:val="0"/>
          <w:position w:val="0"/>
          <w:sz w:val="20"/>
          <w:szCs w:val="20"/>
          <w:lang w:eastAsia="tr-TR"/>
        </w:rPr>
      </w:pPr>
    </w:p>
    <w:p w14:paraId="27239863" w14:textId="3030B692" w:rsidR="00EC364D" w:rsidRPr="00EC364D" w:rsidRDefault="00EC364D" w:rsidP="00EC364D">
      <w:pPr>
        <w:spacing w:line="276" w:lineRule="auto"/>
        <w:ind w:left="170"/>
        <w:rPr>
          <w:rFonts w:ascii="Arial" w:eastAsiaTheme="minorHAnsi" w:hAnsi="Arial" w:cs="Arial"/>
          <w:noProof w:val="0"/>
          <w:color w:val="000000"/>
          <w:kern w:val="0"/>
          <w:position w:val="0"/>
          <w:sz w:val="20"/>
          <w:szCs w:val="20"/>
          <w:lang w:eastAsia="tr-TR"/>
        </w:rPr>
      </w:pPr>
      <w:r w:rsidRPr="00EC364D">
        <w:rPr>
          <w:rFonts w:ascii="Arial" w:eastAsiaTheme="minorHAnsi" w:hAnsi="Arial" w:cs="Arial"/>
          <w:b/>
          <w:noProof w:val="0"/>
          <w:color w:val="000000"/>
          <w:kern w:val="0"/>
          <w:position w:val="0"/>
          <w:sz w:val="20"/>
          <w:szCs w:val="20"/>
          <w:lang w:eastAsia="tr-TR"/>
        </w:rPr>
        <w:t>MADDE 19-</w:t>
      </w:r>
      <w:r w:rsidRPr="00EC364D">
        <w:rPr>
          <w:rFonts w:ascii="Arial" w:eastAsiaTheme="minorHAnsi" w:hAnsi="Arial" w:cs="Arial"/>
          <w:noProof w:val="0"/>
          <w:color w:val="000000"/>
          <w:kern w:val="0"/>
          <w:position w:val="0"/>
          <w:sz w:val="20"/>
          <w:szCs w:val="20"/>
          <w:lang w:eastAsia="tr-TR"/>
        </w:rPr>
        <w:t xml:space="preserve"> 4632 sayılı Kanunun geçici 2 nci maddesine “kırk beş yaşını doldurmamış olan çalışanlar” ibaresinden sonra gelmek üzere “ile 506 sayılı Kanunun geçici 20 nci maddesi kapsamında kurulmuş olan sandıkların iştirakçisi olarak çalışanlardan Kanunun yürürlüğe girdiği tarihte kırk beş yaşını doldurmamış olanlar” ibaresi eklenmiştir.</w:t>
      </w:r>
    </w:p>
    <w:p w14:paraId="5BDB2F24" w14:textId="77777777" w:rsidR="00EC364D" w:rsidRDefault="00EC364D" w:rsidP="00EC364D">
      <w:pPr>
        <w:spacing w:line="276" w:lineRule="auto"/>
        <w:ind w:left="170"/>
        <w:rPr>
          <w:rFonts w:ascii="Arial" w:eastAsiaTheme="minorHAnsi" w:hAnsi="Arial" w:cs="Arial"/>
          <w:noProof w:val="0"/>
          <w:color w:val="000000"/>
          <w:kern w:val="0"/>
          <w:position w:val="0"/>
          <w:sz w:val="20"/>
          <w:szCs w:val="20"/>
          <w:lang w:eastAsia="tr-TR"/>
        </w:rPr>
      </w:pPr>
    </w:p>
    <w:p w14:paraId="1B99C62A" w14:textId="3070362D" w:rsidR="00EC364D" w:rsidRPr="00EC364D" w:rsidRDefault="00EC364D" w:rsidP="00EC364D">
      <w:pPr>
        <w:spacing w:line="276" w:lineRule="auto"/>
        <w:ind w:left="170"/>
        <w:rPr>
          <w:rFonts w:ascii="Arial" w:eastAsiaTheme="minorHAnsi" w:hAnsi="Arial" w:cs="Arial"/>
          <w:noProof w:val="0"/>
          <w:color w:val="000000"/>
          <w:kern w:val="0"/>
          <w:position w:val="0"/>
          <w:sz w:val="20"/>
          <w:szCs w:val="20"/>
          <w:lang w:eastAsia="tr-TR"/>
        </w:rPr>
      </w:pPr>
      <w:r w:rsidRPr="00EC364D">
        <w:rPr>
          <w:rFonts w:ascii="Arial" w:eastAsiaTheme="minorHAnsi" w:hAnsi="Arial" w:cs="Arial"/>
          <w:b/>
          <w:noProof w:val="0"/>
          <w:color w:val="000000"/>
          <w:kern w:val="0"/>
          <w:position w:val="0"/>
          <w:sz w:val="20"/>
          <w:szCs w:val="20"/>
          <w:lang w:eastAsia="tr-TR"/>
        </w:rPr>
        <w:t>MADDE 20-</w:t>
      </w:r>
      <w:r w:rsidRPr="00EC364D">
        <w:rPr>
          <w:rFonts w:ascii="Arial" w:eastAsiaTheme="minorHAnsi" w:hAnsi="Arial" w:cs="Arial"/>
          <w:noProof w:val="0"/>
          <w:color w:val="000000"/>
          <w:kern w:val="0"/>
          <w:position w:val="0"/>
          <w:sz w:val="20"/>
          <w:szCs w:val="20"/>
          <w:lang w:eastAsia="tr-TR"/>
        </w:rPr>
        <w:t xml:space="preserve"> 4632 sayılı Kanuna aşağıdaki geçici madde eklenmiştir.</w:t>
      </w:r>
    </w:p>
    <w:p w14:paraId="7553F592" w14:textId="77777777" w:rsidR="00EC364D" w:rsidRPr="00EC364D" w:rsidRDefault="00EC364D" w:rsidP="00EC364D">
      <w:pPr>
        <w:spacing w:line="276" w:lineRule="auto"/>
        <w:ind w:left="170"/>
        <w:rPr>
          <w:rFonts w:ascii="Arial" w:eastAsiaTheme="minorHAnsi" w:hAnsi="Arial" w:cs="Arial"/>
          <w:noProof w:val="0"/>
          <w:color w:val="000000"/>
          <w:kern w:val="0"/>
          <w:position w:val="0"/>
          <w:sz w:val="20"/>
          <w:szCs w:val="20"/>
          <w:lang w:eastAsia="tr-TR"/>
        </w:rPr>
      </w:pPr>
      <w:r w:rsidRPr="00EC364D">
        <w:rPr>
          <w:rFonts w:ascii="Arial" w:eastAsiaTheme="minorHAnsi" w:hAnsi="Arial" w:cs="Arial"/>
          <w:noProof w:val="0"/>
          <w:color w:val="000000"/>
          <w:kern w:val="0"/>
          <w:position w:val="0"/>
          <w:sz w:val="20"/>
          <w:szCs w:val="20"/>
          <w:lang w:eastAsia="tr-TR"/>
        </w:rPr>
        <w:t>“</w:t>
      </w:r>
      <w:r w:rsidRPr="00EC364D">
        <w:rPr>
          <w:rFonts w:ascii="Arial" w:eastAsiaTheme="minorHAnsi" w:hAnsi="Arial" w:cs="Arial"/>
          <w:b/>
          <w:noProof w:val="0"/>
          <w:color w:val="000000"/>
          <w:kern w:val="0"/>
          <w:position w:val="0"/>
          <w:sz w:val="20"/>
          <w:szCs w:val="20"/>
          <w:lang w:eastAsia="tr-TR"/>
        </w:rPr>
        <w:t>GEÇİCİ MADDE 3–</w:t>
      </w:r>
      <w:r w:rsidRPr="00EC364D">
        <w:rPr>
          <w:rFonts w:ascii="Arial" w:eastAsiaTheme="minorHAnsi" w:hAnsi="Arial" w:cs="Arial"/>
          <w:noProof w:val="0"/>
          <w:color w:val="000000"/>
          <w:kern w:val="0"/>
          <w:position w:val="0"/>
          <w:sz w:val="20"/>
          <w:szCs w:val="20"/>
          <w:lang w:eastAsia="tr-TR"/>
        </w:rPr>
        <w:t xml:space="preserve"> 1/1/2013 ila bu maddenin yürürlüğe girdiği tarih arasındaki sürede, katkı payının şirket hesaplarına nakden intikal ettiği tarihten önceki bir tarihte Devlet katkısı hesaplamasına konu edilmesi nedeniyle, erken ödenen Devlet katkısı tutarlarına Devlet katkısının Müsteşarlıkça fiilen ödendiği tarih ile ödenmesi gereken tarih arasındaki süre için, emeklilik gözetim merkezi tarafından 6183 sayılı Kanunun 51 inci maddesinde belirtilen gecikme zammı oranı esas alınarak gecikme bedeli hesaplanır. Hesaplanan bedelin, Devlet katkısının Müsteşarlıkça ödenmesi gereken tarihten şirketin ödeme yaptığı tarihe kadar 6183 sayılı Kanunun 51 inci maddesinde belirtilen gecikme zammı oranına göre hesaplanan faiziyle birlikte ilgili vergi dairesine ödenmesi gerektiği hususu emeklilik gözetim merkezi tarafından şirkete ve 6183 sayılı Kanun hükümlerine göre gerekli takibatın yapılması amacıyla durum ilgili şirketin bağlı olduğu vergi dairesine bildirilir.</w:t>
      </w:r>
    </w:p>
    <w:p w14:paraId="3100EAB6" w14:textId="77777777" w:rsidR="00EC364D" w:rsidRPr="00EC364D" w:rsidRDefault="00EC364D" w:rsidP="00EC364D">
      <w:pPr>
        <w:spacing w:line="276" w:lineRule="auto"/>
        <w:ind w:left="170"/>
        <w:rPr>
          <w:rFonts w:ascii="Arial" w:eastAsiaTheme="minorHAnsi" w:hAnsi="Arial" w:cs="Arial"/>
          <w:noProof w:val="0"/>
          <w:color w:val="000000"/>
          <w:kern w:val="0"/>
          <w:position w:val="0"/>
          <w:sz w:val="20"/>
          <w:szCs w:val="20"/>
          <w:lang w:eastAsia="tr-TR"/>
        </w:rPr>
      </w:pPr>
      <w:r w:rsidRPr="00EC364D">
        <w:rPr>
          <w:rFonts w:ascii="Arial" w:eastAsiaTheme="minorHAnsi" w:hAnsi="Arial" w:cs="Arial"/>
          <w:noProof w:val="0"/>
          <w:color w:val="000000"/>
          <w:kern w:val="0"/>
          <w:position w:val="0"/>
          <w:sz w:val="20"/>
          <w:szCs w:val="20"/>
          <w:lang w:eastAsia="tr-TR"/>
        </w:rPr>
        <w:lastRenderedPageBreak/>
        <w:t>1/1/2013 ila bu maddenin yürürlüğe girdiği tarih arasındaki sürede, erken ödenen Devlet katkısı tutarları kapsamında, ilgili dönemde gerçekleştirilmiş olan iade işlemleri geçerliliğini korur.”</w:t>
      </w:r>
    </w:p>
    <w:p w14:paraId="1E0E73ED" w14:textId="77777777" w:rsidR="00626E7B" w:rsidRDefault="00626E7B"/>
    <w:sectPr w:rsidR="00626E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E4FAD" w14:textId="77777777" w:rsidR="00EC364D" w:rsidRDefault="00EC364D" w:rsidP="00EC364D">
      <w:r>
        <w:separator/>
      </w:r>
    </w:p>
  </w:endnote>
  <w:endnote w:type="continuationSeparator" w:id="0">
    <w:p w14:paraId="08ED64CB" w14:textId="77777777" w:rsidR="00EC364D" w:rsidRDefault="00EC364D" w:rsidP="00EC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B8A5F" w14:textId="5042DD45" w:rsidR="00EC364D" w:rsidRPr="00F32A61" w:rsidRDefault="00F32A61" w:rsidP="00F32A61">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bjFooterEvenPageDocProperty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8E75" w14:textId="300A2C0B" w:rsidR="00EC364D" w:rsidRPr="00F32A61" w:rsidRDefault="00F32A61" w:rsidP="00F32A61">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bjFooterBothDocProperty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6F313" w14:textId="251F8E47" w:rsidR="00EC364D" w:rsidRPr="00F32A61" w:rsidRDefault="00F32A61" w:rsidP="00F32A61">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bjFooterFirstPageDocProperty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FDB40" w14:textId="77777777" w:rsidR="00EC364D" w:rsidRDefault="00EC364D" w:rsidP="00EC364D">
      <w:r>
        <w:separator/>
      </w:r>
    </w:p>
  </w:footnote>
  <w:footnote w:type="continuationSeparator" w:id="0">
    <w:p w14:paraId="1EDCD60B" w14:textId="77777777" w:rsidR="00EC364D" w:rsidRDefault="00EC364D" w:rsidP="00EC3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3D55D" w14:textId="77777777" w:rsidR="00EC364D" w:rsidRDefault="00EC364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E3E71" w14:textId="77777777" w:rsidR="00EC364D" w:rsidRDefault="00EC364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18680" w14:textId="77777777" w:rsidR="00EC364D" w:rsidRDefault="00EC364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96"/>
    <w:rsid w:val="004A17C3"/>
    <w:rsid w:val="00626E7B"/>
    <w:rsid w:val="00813696"/>
    <w:rsid w:val="00EC364D"/>
    <w:rsid w:val="00F32A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390796"/>
  <w15:chartTrackingRefBased/>
  <w15:docId w15:val="{3AA6491B-1CAA-4898-AD45-DC1E2811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364D"/>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EC364D"/>
    <w:pPr>
      <w:keepNext/>
      <w:widowControl w:val="0"/>
      <w:spacing w:line="260" w:lineRule="atLeast"/>
      <w:ind w:right="17"/>
      <w:jc w:val="center"/>
      <w:outlineLvl w:val="1"/>
    </w:pPr>
    <w:rPr>
      <w:rFonts w:ascii="Arial" w:eastAsia="Cambria" w:hAnsi="Arial" w:cs="Arial"/>
      <w:b/>
      <w:bCs/>
      <w:positio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C364D"/>
    <w:rPr>
      <w:rFonts w:ascii="Arial" w:eastAsia="Cambria" w:hAnsi="Arial" w:cs="Arial"/>
      <w:b/>
      <w:bCs/>
      <w:noProof/>
      <w:kern w:val="16"/>
      <w:sz w:val="24"/>
      <w:szCs w:val="24"/>
      <w:lang w:eastAsia="tr-TR"/>
    </w:rPr>
  </w:style>
  <w:style w:type="paragraph" w:styleId="stBilgi">
    <w:name w:val="header"/>
    <w:basedOn w:val="Normal"/>
    <w:link w:val="stBilgiChar"/>
    <w:uiPriority w:val="99"/>
    <w:unhideWhenUsed/>
    <w:rsid w:val="00EC364D"/>
    <w:pPr>
      <w:tabs>
        <w:tab w:val="center" w:pos="4536"/>
        <w:tab w:val="right" w:pos="9072"/>
      </w:tabs>
    </w:pPr>
  </w:style>
  <w:style w:type="character" w:customStyle="1" w:styleId="stBilgiChar">
    <w:name w:val="Üst Bilgi Char"/>
    <w:basedOn w:val="VarsaylanParagrafYazTipi"/>
    <w:link w:val="stBilgi"/>
    <w:uiPriority w:val="99"/>
    <w:rsid w:val="00EC364D"/>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EC364D"/>
    <w:pPr>
      <w:tabs>
        <w:tab w:val="center" w:pos="4536"/>
        <w:tab w:val="right" w:pos="9072"/>
      </w:tabs>
    </w:pPr>
  </w:style>
  <w:style w:type="character" w:customStyle="1" w:styleId="AltBilgiChar">
    <w:name w:val="Alt Bilgi Char"/>
    <w:basedOn w:val="VarsaylanParagrafYazTipi"/>
    <w:link w:val="AltBilgi"/>
    <w:uiPriority w:val="99"/>
    <w:rsid w:val="00EC364D"/>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310EC317-9498-468E-AFFE-4F9D0250CA2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625</Words>
  <Characters>3566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4</cp:revision>
  <cp:lastPrinted>2023-05-05T14:52:00Z</cp:lastPrinted>
  <dcterms:created xsi:type="dcterms:W3CDTF">2023-05-05T11:45:00Z</dcterms:created>
  <dcterms:modified xsi:type="dcterms:W3CDTF">2023-05-05T14:52:00Z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02467423-16d3-4b9a-b867-e44929277e96</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