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D7721" w14:textId="77777777" w:rsidR="006B1087" w:rsidRPr="007E6F49" w:rsidRDefault="006B1087" w:rsidP="006B1087">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r w:rsidRPr="007E6F49">
        <w:rPr>
          <w:rFonts w:ascii="Arial" w:eastAsiaTheme="minorHAnsi" w:hAnsi="Arial" w:cs="Arial"/>
          <w:b/>
          <w:bCs/>
          <w:noProof w:val="0"/>
          <w:color w:val="000000"/>
          <w:position w:val="0"/>
          <w:sz w:val="20"/>
          <w:szCs w:val="20"/>
        </w:rPr>
        <w:t xml:space="preserve">Kanun No: </w:t>
      </w:r>
      <w:r w:rsidRPr="007E6F49">
        <w:rPr>
          <w:rFonts w:ascii="Arial" w:eastAsiaTheme="minorHAnsi" w:hAnsi="Arial" w:cs="Arial"/>
          <w:bCs/>
          <w:noProof w:val="0"/>
          <w:color w:val="000000"/>
          <w:position w:val="0"/>
          <w:sz w:val="20"/>
          <w:szCs w:val="20"/>
        </w:rPr>
        <w:t xml:space="preserve">5728  </w:t>
      </w:r>
      <w:r w:rsidRPr="007E6F49">
        <w:rPr>
          <w:rFonts w:ascii="Arial" w:eastAsiaTheme="minorHAnsi" w:hAnsi="Arial" w:cs="Arial"/>
          <w:b/>
          <w:bCs/>
          <w:noProof w:val="0"/>
          <w:color w:val="000000"/>
          <w:position w:val="0"/>
          <w:sz w:val="20"/>
          <w:szCs w:val="20"/>
        </w:rPr>
        <w:tab/>
      </w:r>
      <w:r w:rsidRPr="007E6F49">
        <w:rPr>
          <w:rFonts w:ascii="Arial" w:eastAsiaTheme="minorHAnsi" w:hAnsi="Arial" w:cs="Arial"/>
          <w:b/>
          <w:bCs/>
          <w:noProof w:val="0"/>
          <w:color w:val="000000"/>
          <w:position w:val="0"/>
          <w:sz w:val="20"/>
          <w:szCs w:val="20"/>
        </w:rPr>
        <w:tab/>
      </w:r>
      <w:r w:rsidRPr="007E6F49">
        <w:rPr>
          <w:rFonts w:ascii="Arial" w:eastAsiaTheme="minorHAnsi" w:hAnsi="Arial" w:cs="Arial"/>
          <w:b/>
          <w:bCs/>
          <w:noProof w:val="0"/>
          <w:color w:val="000000"/>
          <w:position w:val="0"/>
          <w:sz w:val="20"/>
          <w:szCs w:val="20"/>
        </w:rPr>
        <w:tab/>
      </w:r>
      <w:r>
        <w:rPr>
          <w:rFonts w:ascii="Arial" w:eastAsiaTheme="minorHAnsi" w:hAnsi="Arial" w:cs="Arial"/>
          <w:b/>
          <w:bCs/>
          <w:noProof w:val="0"/>
          <w:color w:val="000000"/>
          <w:position w:val="0"/>
          <w:sz w:val="20"/>
          <w:szCs w:val="20"/>
        </w:rPr>
        <w:tab/>
      </w:r>
      <w:r w:rsidRPr="007E6F49">
        <w:rPr>
          <w:rFonts w:ascii="Arial" w:eastAsiaTheme="minorHAnsi" w:hAnsi="Arial" w:cs="Arial"/>
          <w:b/>
          <w:bCs/>
          <w:noProof w:val="0"/>
          <w:color w:val="000000"/>
          <w:position w:val="0"/>
          <w:sz w:val="20"/>
          <w:szCs w:val="20"/>
        </w:rPr>
        <w:t xml:space="preserve">Kabul Tarihi: </w:t>
      </w:r>
      <w:r w:rsidRPr="007E6F49">
        <w:rPr>
          <w:rFonts w:ascii="Arial" w:eastAsiaTheme="minorHAnsi" w:hAnsi="Arial" w:cs="Arial"/>
          <w:b/>
          <w:bCs/>
          <w:noProof w:val="0"/>
          <w:color w:val="000000"/>
          <w:position w:val="0"/>
          <w:sz w:val="20"/>
          <w:szCs w:val="20"/>
        </w:rPr>
        <w:tab/>
      </w:r>
      <w:r w:rsidRPr="007E6F49">
        <w:rPr>
          <w:rFonts w:ascii="Arial" w:eastAsiaTheme="minorHAnsi" w:hAnsi="Arial" w:cs="Arial"/>
          <w:bCs/>
          <w:noProof w:val="0"/>
          <w:color w:val="000000"/>
          <w:position w:val="0"/>
          <w:sz w:val="20"/>
          <w:szCs w:val="20"/>
        </w:rPr>
        <w:t>23/01/2008</w:t>
      </w:r>
    </w:p>
    <w:p w14:paraId="1F9FE21D" w14:textId="77777777" w:rsidR="006B1087" w:rsidRPr="007E6F49" w:rsidRDefault="006B1087" w:rsidP="006B1087">
      <w:pPr>
        <w:widowControl w:val="0"/>
        <w:tabs>
          <w:tab w:val="left" w:pos="1260"/>
        </w:tabs>
        <w:spacing w:line="240" w:lineRule="atLeast"/>
        <w:ind w:left="170" w:right="170"/>
        <w:rPr>
          <w:rFonts w:ascii="Arial" w:eastAsiaTheme="minorHAnsi" w:hAnsi="Arial" w:cs="Arial"/>
          <w:b/>
          <w:bCs/>
          <w:noProof w:val="0"/>
          <w:color w:val="000000"/>
          <w:position w:val="0"/>
          <w:sz w:val="20"/>
          <w:szCs w:val="20"/>
        </w:rPr>
      </w:pPr>
      <w:r w:rsidRPr="007E6F49">
        <w:rPr>
          <w:rFonts w:ascii="Arial" w:eastAsiaTheme="minorHAnsi" w:hAnsi="Arial" w:cs="Arial"/>
          <w:b/>
          <w:bCs/>
          <w:noProof w:val="0"/>
          <w:color w:val="000000"/>
          <w:position w:val="0"/>
          <w:sz w:val="20"/>
          <w:szCs w:val="20"/>
        </w:rPr>
        <w:t xml:space="preserve">Resmi Gazete Sayısı: </w:t>
      </w:r>
      <w:r w:rsidRPr="007E6F49">
        <w:rPr>
          <w:rFonts w:ascii="Arial" w:eastAsiaTheme="minorHAnsi" w:hAnsi="Arial" w:cs="Arial"/>
          <w:bCs/>
          <w:noProof w:val="0"/>
          <w:color w:val="000000"/>
          <w:position w:val="0"/>
          <w:sz w:val="20"/>
          <w:szCs w:val="20"/>
        </w:rPr>
        <w:t>26781</w:t>
      </w:r>
      <w:r w:rsidRPr="007E6F49">
        <w:rPr>
          <w:rFonts w:ascii="Arial" w:eastAsiaTheme="minorHAnsi" w:hAnsi="Arial" w:cs="Arial"/>
          <w:b/>
          <w:bCs/>
          <w:noProof w:val="0"/>
          <w:color w:val="000000"/>
          <w:position w:val="0"/>
          <w:sz w:val="20"/>
          <w:szCs w:val="20"/>
        </w:rPr>
        <w:t xml:space="preserve">  </w:t>
      </w:r>
      <w:r w:rsidRPr="007E6F49">
        <w:rPr>
          <w:rFonts w:ascii="Arial" w:eastAsiaTheme="minorHAnsi" w:hAnsi="Arial" w:cs="Arial"/>
          <w:b/>
          <w:bCs/>
          <w:noProof w:val="0"/>
          <w:color w:val="000000"/>
          <w:position w:val="0"/>
          <w:sz w:val="20"/>
          <w:szCs w:val="20"/>
        </w:rPr>
        <w:tab/>
      </w:r>
      <w:r w:rsidRPr="007E6F49">
        <w:rPr>
          <w:rFonts w:ascii="Arial" w:eastAsiaTheme="minorHAnsi" w:hAnsi="Arial" w:cs="Arial"/>
          <w:b/>
          <w:bCs/>
          <w:noProof w:val="0"/>
          <w:color w:val="000000"/>
          <w:position w:val="0"/>
          <w:sz w:val="20"/>
          <w:szCs w:val="20"/>
        </w:rPr>
        <w:tab/>
        <w:t xml:space="preserve">Resmi Gazete Tarihi: </w:t>
      </w:r>
      <w:r w:rsidRPr="007E6F49">
        <w:rPr>
          <w:rFonts w:ascii="Arial" w:eastAsiaTheme="minorHAnsi" w:hAnsi="Arial" w:cs="Arial"/>
          <w:bCs/>
          <w:noProof w:val="0"/>
          <w:color w:val="000000"/>
          <w:position w:val="0"/>
          <w:sz w:val="20"/>
          <w:szCs w:val="20"/>
        </w:rPr>
        <w:t>08/02/2008</w:t>
      </w:r>
    </w:p>
    <w:p w14:paraId="53B2440F" w14:textId="77777777" w:rsidR="006B1087" w:rsidRPr="007E6F49" w:rsidRDefault="006B1087" w:rsidP="006B1087">
      <w:pPr>
        <w:rPr>
          <w:rFonts w:eastAsiaTheme="majorEastAsia"/>
        </w:rPr>
      </w:pPr>
      <w:bookmarkStart w:id="0" w:name="_Toc10203580"/>
      <w:bookmarkStart w:id="1" w:name="_Toc91679122"/>
      <w:bookmarkStart w:id="2" w:name="_Toc105418754"/>
    </w:p>
    <w:p w14:paraId="78E9CC89" w14:textId="77777777" w:rsidR="006B1087" w:rsidRPr="007E6F49" w:rsidRDefault="006B1087" w:rsidP="006B1087">
      <w:pPr>
        <w:pStyle w:val="Balk2"/>
      </w:pPr>
      <w:r w:rsidRPr="007E6F49">
        <w:t>TEMEL CEZA KANUNLARINA UYUM AMACIYLA ÇEŞİTLİ KANUNLARDA VE DİĞER BAZI KANUNLARDA DEĞİŞİKLİK YAPILMASINA DAİR KANUN</w:t>
      </w:r>
      <w:bookmarkEnd w:id="0"/>
      <w:bookmarkEnd w:id="1"/>
      <w:bookmarkEnd w:id="2"/>
      <w:r w:rsidRPr="007E6F49">
        <w:t xml:space="preserve"> (İlgili Maddeler)</w:t>
      </w:r>
    </w:p>
    <w:p w14:paraId="3C58A2D9" w14:textId="77777777" w:rsidR="006B1087" w:rsidRPr="006E426D" w:rsidRDefault="006B1087" w:rsidP="006B1087">
      <w:pPr>
        <w:spacing w:line="276" w:lineRule="auto"/>
        <w:rPr>
          <w:rFonts w:ascii="Arial" w:hAnsi="Arial" w:cs="Arial"/>
          <w:position w:val="0"/>
          <w:sz w:val="20"/>
          <w:szCs w:val="20"/>
        </w:rPr>
      </w:pPr>
    </w:p>
    <w:p w14:paraId="2F6C3B12" w14:textId="77777777" w:rsidR="006B1087" w:rsidRPr="007E6F49" w:rsidRDefault="006B1087" w:rsidP="006B1087">
      <w:pPr>
        <w:widowControl w:val="0"/>
        <w:spacing w:line="276" w:lineRule="auto"/>
        <w:ind w:left="170" w:right="170"/>
        <w:rPr>
          <w:rFonts w:ascii="Arial" w:eastAsiaTheme="minorHAnsi" w:hAnsi="Arial" w:cs="Arial"/>
          <w:b/>
          <w:bCs/>
          <w:noProof w:val="0"/>
          <w:color w:val="000000"/>
          <w:position w:val="0"/>
          <w:sz w:val="20"/>
          <w:szCs w:val="20"/>
        </w:rPr>
      </w:pPr>
    </w:p>
    <w:p w14:paraId="6622EC04"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 xml:space="preserve">MADDE 485- </w:t>
      </w:r>
      <w:r w:rsidRPr="007E6F49">
        <w:rPr>
          <w:rFonts w:ascii="Arial" w:eastAsiaTheme="minorHAnsi" w:hAnsi="Arial" w:cs="Arial"/>
          <w:bCs/>
          <w:noProof w:val="0"/>
          <w:color w:val="000000"/>
          <w:position w:val="0"/>
          <w:sz w:val="20"/>
          <w:szCs w:val="20"/>
        </w:rPr>
        <w:t>28/3/2001 tarihli ve 4632 sayılı Bireysel Emeklilik Tasarruf ve Yatırım Sistemi Kanununun 8 inci maddesinin dördüncü fıkrasının (g) bendinin (3) numaralı alt bendi aşağıdaki şekilde değiştirilmiştir.</w:t>
      </w:r>
    </w:p>
    <w:p w14:paraId="64C5446C"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“3. Müflis veya konkordato ilan etmiş olmaması, Türk Ceza Kanununun 53 üncü maddesinde belirtilen süreler geçmiş olsa bile; kasten işlenen bir suçtan dolayı beş yıl veya daha fazla süreyle hapis cezasına ya da devletin güvenliğine karşı suçlar, Anayasal düzene ve bu düzenin işleyişine karşı suçlar, milli savunmaya karşı suçlar, devlet sırlarına karşı suçlar ve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kaçakçılık, vergi kaçakçılığı veya haksız mal edinme suçlarından mahkûm olmaması,”</w:t>
      </w:r>
    </w:p>
    <w:p w14:paraId="7EDEBD72" w14:textId="77777777" w:rsidR="006B1087" w:rsidRPr="006E426D" w:rsidRDefault="006B1087" w:rsidP="006B1087">
      <w:pPr>
        <w:spacing w:line="276" w:lineRule="auto"/>
        <w:rPr>
          <w:rFonts w:ascii="Arial" w:hAnsi="Arial" w:cs="Arial"/>
          <w:b/>
          <w:bCs/>
          <w:position w:val="0"/>
          <w:sz w:val="20"/>
          <w:szCs w:val="20"/>
        </w:rPr>
      </w:pPr>
    </w:p>
    <w:p w14:paraId="4216B2EE"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486-</w:t>
      </w:r>
      <w:r w:rsidRPr="007E6F49">
        <w:rPr>
          <w:rFonts w:ascii="Arial" w:eastAsiaTheme="minorHAnsi" w:hAnsi="Arial" w:cs="Arial"/>
          <w:bCs/>
          <w:noProof w:val="0"/>
          <w:color w:val="000000"/>
          <w:position w:val="0"/>
          <w:sz w:val="20"/>
          <w:szCs w:val="20"/>
        </w:rPr>
        <w:t xml:space="preserve"> 4632 sayılı Kanunun 22 nci maddesi başlığıyla birlikte aşağıdaki şekilde değiştirilmiştir.</w:t>
      </w:r>
    </w:p>
    <w:p w14:paraId="7BDB1951"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“İdarî yaptırımlar</w:t>
      </w:r>
    </w:p>
    <w:p w14:paraId="1F6735DC"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22-</w:t>
      </w:r>
      <w:r w:rsidRPr="007E6F49">
        <w:rPr>
          <w:rFonts w:ascii="Arial" w:eastAsiaTheme="minorHAnsi" w:hAnsi="Arial" w:cs="Arial"/>
          <w:bCs/>
          <w:noProof w:val="0"/>
          <w:color w:val="000000"/>
          <w:position w:val="0"/>
          <w:sz w:val="20"/>
          <w:szCs w:val="20"/>
        </w:rPr>
        <w:t xml:space="preserve"> Konularına göre Müsteşarlık veya Kurul kararıyla ve gerekçesi belirtilmek suretiyle bu Kanuna tâbi gerçek ve tüzel kişilere, bu Kanunun;</w:t>
      </w:r>
    </w:p>
    <w:p w14:paraId="5589EF18"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a) 4 üncü maddesi hükümlerine aykırı emeklilik sözleşmesi düzenlenmesi halinde üçbin Türk Lirası,</w:t>
      </w:r>
    </w:p>
    <w:p w14:paraId="27A65213"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b) 5 inci maddesinde öngörülen aktarma yükümlülüğüne aykırılık halinde ikibin Türk Lirası,</w:t>
      </w:r>
    </w:p>
    <w:p w14:paraId="32A75B06"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c) 5 inci maddesinde öngörülen yatırıma yönlendirme yükümlülüğüne aykırılık halinde ikibin Türk Lirası,</w:t>
      </w:r>
    </w:p>
    <w:p w14:paraId="595BD0E4"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d) 6 ncı maddesinde öngörülen ödeme veya aktarma yükümlülüğüne aykırılık halinde ikibin Türk Lirası,</w:t>
      </w:r>
    </w:p>
    <w:p w14:paraId="3269A142"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e) 6 ncı maddesinin son fıkrasında öngörülen tasdik yükümlülüğünün yerine getirilmeden sözleşmelerin uygulamaya konulması halinde üçbin Türk Lirası,</w:t>
      </w:r>
    </w:p>
    <w:p w14:paraId="195C2012"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f) 7 nci maddesinde öngörülen katılımcı tarafından ödenecek giderler veya ücretler konusunda bilgilendirme yükümlülüğüne aykırılık halinde ikibin Türk Lirası,</w:t>
      </w:r>
    </w:p>
    <w:p w14:paraId="7E4703C3"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g) 10 uncu maddesinin birinci fıkrası hükümlerine aykırı olarak belirtilen kavramların kullanılması halinde yedibinbeşyüz Türk Lirası,</w:t>
      </w:r>
    </w:p>
    <w:p w14:paraId="05685D02"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h) 10 uncu maddesinin ikinci fıkrası hükümlerine aykırı olarak ilan ve reklam faaliyetinde bulunulması halinde onbeşbin Türk Lirası,</w:t>
      </w:r>
    </w:p>
    <w:p w14:paraId="0FC4D14C"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ı) 10 uncu maddesinin ikinci fıkrasında öngörülen katılımcılara bilgi verilmesi yükümlülüğüne aykırılık halinde ikibin Türk Lirası,</w:t>
      </w:r>
    </w:p>
    <w:p w14:paraId="0C9E1399"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j) 11 inci maddesinin birinci fıkrasında öngörülen sorumlulukların yerine getirilmemesi halinde üçbin Türk Lirası,</w:t>
      </w:r>
    </w:p>
    <w:p w14:paraId="276296E5"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k) 11 inci maddesinin ikinci fıkrası hükümlerine aykırı olarak aracılık faaliyetinde bulunulması veya aracılık hizmeti sağlanması hallerinde altıbin Türk Lirası,</w:t>
      </w:r>
    </w:p>
    <w:p w14:paraId="0C439F85"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l) 12 nci maddesinin birinci fıkrası hükümlerine aykırı olarak belirtilen nitelikleri haiz olmayan kişilerin çalıştırılması halinde onbeşbin Türk Lirası,</w:t>
      </w:r>
    </w:p>
    <w:p w14:paraId="194B5A01"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m) 12 nci maddesinin ikinci fıkrasında öngörülen bildirim yükümlülüğünün yerine getirilmemesi halinde üçbin Türk Lirası,</w:t>
      </w:r>
    </w:p>
    <w:p w14:paraId="7AC8A40A"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n) 12 nci maddesinin üçüncü fıkrası hükümlerine aykırı olarak belirtilen kişilerin yasaklanan </w:t>
      </w:r>
      <w:r w:rsidRPr="007E6F49">
        <w:rPr>
          <w:rFonts w:ascii="Arial" w:eastAsiaTheme="minorHAnsi" w:hAnsi="Arial" w:cs="Arial"/>
          <w:bCs/>
          <w:noProof w:val="0"/>
          <w:color w:val="000000"/>
          <w:position w:val="0"/>
          <w:sz w:val="20"/>
          <w:szCs w:val="20"/>
        </w:rPr>
        <w:lastRenderedPageBreak/>
        <w:t>görevlerde çalıştırılması halinde onbeşbin Türk Lirası,</w:t>
      </w:r>
    </w:p>
    <w:p w14:paraId="7E49FF00"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o) 13 üncü maddesinin birinci fıkrası hükümlerine aykırı olarak anasözleşme değişikliklerinin tescil edilmesi halinde onbeşbin Türk Lirası,</w:t>
      </w:r>
    </w:p>
    <w:p w14:paraId="77C8AE70"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p) 13 üncü maddesinin üçüncü fıkrası hükümlerine aykırı olarak malvarlıklarının devri veya bir başka şirketle birleşilmesi halinde onbeşbin Türk Lirası,</w:t>
      </w:r>
    </w:p>
    <w:p w14:paraId="68D9003D"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r) 21 inci maddesinde öngörülen bağımsız dış denetim yükümlülüğünün yerine getirilmemesi halinde onbeşbin Türk Lirası,</w:t>
      </w:r>
    </w:p>
    <w:p w14:paraId="67EB003F"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s) Bakanlık, Müsteşarlık ve Kurul tarafından alınan kararlara, çıkarılan yönetmelik ve tebliğler ile yapılan diğer düzenlemelere uyulmaması halinde, yukarıdaki fıkralarda, sigortacılık mevzuatı ve sermaye piyasası mevzuatında öngörülmüş bir cezanın olmadığı hallerde ikibin Türk Lirası,</w:t>
      </w:r>
    </w:p>
    <w:p w14:paraId="3D7553CB"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idarî para cezası verilir.</w:t>
      </w:r>
    </w:p>
    <w:p w14:paraId="591C6398"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Yukarıda belirtilen idarî para cezalarının uygulanmasından önce ilgili kuruluş veya kişilerin savunmaları alınır. Savunma istendiğine ilişkin yazının tebliğ tarihinden itibaren bir ay içinde savunma verilmemesi halinde savunma hakkından feragat edildiği kabul edilir.</w:t>
      </w:r>
    </w:p>
    <w:p w14:paraId="312597AF"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İdarî para cezalarının verilmesini gerektiren fiillerin tekrarı halinde, verilen para cezası iki katı, izleyen tekrarlarda üç katı artırılarak uygulanır. Bu cezaların verildiği tarihten itibaren iki yıl içinde idarî para cezasının verilmesini gerektiren aynı fiil işlenmediği takdirde önceki cezalar tekrarda esas alınmaz.</w:t>
      </w:r>
    </w:p>
    <w:p w14:paraId="0A38E9C5"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Bu Kanunun 23 üncü maddesinin birinci fıkrasında öngörülen suçu işleyenler hakkında kanunî kovuşturmaya geçilmekle birlikte, gecikmesinde sakınca bulunan hallerde Müsteşarlığın talebi üzerine valiliklerce bunların işyerleri geçici olarak kapatılır; ilan ve reklamları durdurulur ya da toplatılır.</w:t>
      </w:r>
    </w:p>
    <w:p w14:paraId="446CF233"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p>
    <w:p w14:paraId="22945AE2"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487-</w:t>
      </w:r>
      <w:r w:rsidRPr="007E6F49">
        <w:rPr>
          <w:rFonts w:ascii="Arial" w:eastAsiaTheme="minorHAnsi" w:hAnsi="Arial" w:cs="Arial"/>
          <w:bCs/>
          <w:noProof w:val="0"/>
          <w:color w:val="000000"/>
          <w:position w:val="0"/>
          <w:sz w:val="20"/>
          <w:szCs w:val="20"/>
        </w:rPr>
        <w:t xml:space="preserve"> 4632 sayılı Kanunun 23 üncü maddesi başlığıyla birlikte aşağıdaki şekilde değiştirilmiştir.</w:t>
      </w:r>
    </w:p>
    <w:p w14:paraId="306F471A"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“Ceza sorumluluğu </w:t>
      </w:r>
    </w:p>
    <w:p w14:paraId="3807705C"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23-</w:t>
      </w:r>
      <w:r w:rsidRPr="007E6F49">
        <w:rPr>
          <w:rFonts w:ascii="Arial" w:eastAsiaTheme="minorHAnsi" w:hAnsi="Arial" w:cs="Arial"/>
          <w:bCs/>
          <w:noProof w:val="0"/>
          <w:color w:val="000000"/>
          <w:position w:val="0"/>
          <w:sz w:val="20"/>
          <w:szCs w:val="20"/>
        </w:rPr>
        <w:t xml:space="preserve"> Bu Kanuna göre gereken izinleri almaksızın emeklilik faaliyetinde bulunan veya ticaret unvanları ve her türlü belgeleri ve ilan ve reklamları ve kamuoyuna yaptıkları açıklamalarda bu Kanunda belirtilen kuruluşların adını kullanan ya da 10 uncu madde hükümlerine aykırı olarak bu Kanunda düzenlenen faaliyetlerde bulundukları izlenimini yaratacak söz ve deyimleri kullanan gerçek kişiler ile tüzel kişilerin görevlileri üç yıldan beş yıla kadar hapis ve üçyüz günden ikibin güne kadar adlî para cezası ile cezalandırılır. Ayrıca idarî tedbir olarak bu faaliyetlerin yürütülmesine mani olunur.</w:t>
      </w:r>
    </w:p>
    <w:p w14:paraId="106E50F1"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Şirketin yönetim kurulu başkanı ve üyeleri ile imza yetkisini haiz mensupları, portföy yönetim şirketinin yönetim kurulu başkanı ve üyeleri ile imza yetkisini haiz mensupları, görevleri dolayısıyla kendilerine tevdi olunan veya muhafazaları, denetimleri ve sorumlulukları altında bulunan şirkete ait para veya diğer varlıkları zimmetine geçirirlerse, Türk Ceza Kanununun, zimmet suçuna ilişkin hükümlerine göre verilecek ceza beşte bir oranında artırılır.</w:t>
      </w:r>
    </w:p>
    <w:p w14:paraId="7323E705"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Kanunda gösterilen yetkili mercilerin ve denetim görevlilerinin istedikleri bilgi ve belgeleri vermeyen ya da denetim görevlilerinin görevlerini yapmalarına engel olan gerçek kişilerle tüzel kişilerin görevli ve ilgilileri bir yıldan üç yıla kadar hapis ve yüz günden az olmamak üzere adlî para cezası ile cezalandırılır. </w:t>
      </w:r>
    </w:p>
    <w:p w14:paraId="436290DE"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Kanuna tâbî gerçek ve tüzel kişilerin bu Kanunda gösterilen merciler ile denetim görevlilerine, mahkemelere ve diğer resmi dairelere hitaben düzenledikleri veya yayımladıkları belgelerde yapılan gerçeğe aykırı beyanlarından dolayı bunları veya bunların düzenlenmesine esas olan her türlü belgeleri imzalayanlar hakkında, Türk Ceza Kanununun belgede sahtecilik suçuna ilişkin hükümlerine göre verilecek ceza bir kat artırılır. </w:t>
      </w:r>
    </w:p>
    <w:p w14:paraId="375C7DC6"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Kanuna tâbî kuruluşların itibarını kırabilecek veya servetine zarar verebilecek bir hususa kasten sebep olan ya da bu yolda asılsız haber yayanlar, bir yıldan üç yıla kadar hapis cezası ile cezalandırılır. Bu fiilin basın ve yayın yoluyla işlenmesi halinde verilecek ceza yarı oranında artırılır. İsimleri belirtilmese dahi bu Kanuna tâbi kuruluşların güvenilirliği konusunda kamuoyunda tereddüte yol açarak bu kuruluşların malî bünyelerinin olumsuz etkilenmesine neden olabilecek nitelikte asılsız haberleri yukarıda belirtilen araçlarla yayınlayanlar dörtyüz günden üçbin güne kadar adlî para </w:t>
      </w:r>
      <w:r w:rsidRPr="007E6F49">
        <w:rPr>
          <w:rFonts w:ascii="Arial" w:eastAsiaTheme="minorHAnsi" w:hAnsi="Arial" w:cs="Arial"/>
          <w:bCs/>
          <w:noProof w:val="0"/>
          <w:color w:val="000000"/>
          <w:position w:val="0"/>
          <w:sz w:val="20"/>
          <w:szCs w:val="20"/>
        </w:rPr>
        <w:lastRenderedPageBreak/>
        <w:t xml:space="preserve">cezası ile cezalandırılır. </w:t>
      </w:r>
    </w:p>
    <w:p w14:paraId="7251E8B2"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Kanunun uygulanmasında ve uygulanmasının denetiminde görev alanlar, görevleri sırasında bu Kanun kapsamında faaliyet gösteren gerçek ve tüzel kişiler, bunların iştirakleri ve kuruluşları ile katılımcıya ait öğrendikleri sırları, bu Kanuna ve özel kanunlarına göre yetkili olanlardan başkasına açıklayamazlar ve kendi yararlarına kullanamazlar. Bu yükümlülük bu kişilerin görevden ayrılmalarından sonra da devam eder. Bu yükümlülüğe uymayan kimseler Türk Ceza Kanununun 239 uncu maddesine göre cezalandırılır. </w:t>
      </w:r>
    </w:p>
    <w:p w14:paraId="4B58F7B7"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Kanuna tâbi kuruluşların mensupları ve diğer görevlileri, sıfat ve görevleri dolayısıyla bu Kanuna tâbi kuruluşlara veya emeklilik sözleşmesi ile ilgili kişilere ait öğrendikleri sırları bu konuda kanunen açıkça yetkili kılınan mercilerden başkasına açıklayamazlar. Bu yükümlülük görevden ayrılmalarından sonra da devam eder. Bu madde hükmüne aykırı davrandığı tespit edilen kişiler Türk Ceza Kanununun 239 uncu maddesine göre cezalandırılır. </w:t>
      </w:r>
    </w:p>
    <w:p w14:paraId="2F23F57B"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Bu maddenin altıncı ve yedinci fıkralarında yazılı kişiler, öğrendikleri sırları kendileri ya da başkaları için yarar sağlamak amacıyla açıklarlarsa, haklarında Türk Ceza Kanununun 239 uncu maddesine göre verilecek ceza yarı oranında artırılır. </w:t>
      </w:r>
    </w:p>
    <w:p w14:paraId="118D4CE6"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p>
    <w:p w14:paraId="74CBC587"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488-</w:t>
      </w:r>
      <w:r w:rsidRPr="007E6F49">
        <w:rPr>
          <w:rFonts w:ascii="Arial" w:eastAsiaTheme="minorHAnsi" w:hAnsi="Arial" w:cs="Arial"/>
          <w:bCs/>
          <w:noProof w:val="0"/>
          <w:color w:val="000000"/>
          <w:position w:val="0"/>
          <w:sz w:val="20"/>
          <w:szCs w:val="20"/>
        </w:rPr>
        <w:t xml:space="preserve"> 4632 sayılı Kanunun 24 üncü maddesi başlığıyla birlikte aşağıdaki şekilde değiştirilmiştir.</w:t>
      </w:r>
    </w:p>
    <w:p w14:paraId="4865D22A"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Cs/>
          <w:noProof w:val="0"/>
          <w:color w:val="000000"/>
          <w:position w:val="0"/>
          <w:sz w:val="20"/>
          <w:szCs w:val="20"/>
        </w:rPr>
        <w:t xml:space="preserve">“Soruşturma ve kovuşturma usulü </w:t>
      </w:r>
    </w:p>
    <w:p w14:paraId="053C747F" w14:textId="77777777" w:rsidR="006B1087" w:rsidRPr="007E6F49" w:rsidRDefault="006B1087" w:rsidP="006B1087">
      <w:pPr>
        <w:widowControl w:val="0"/>
        <w:spacing w:line="276" w:lineRule="auto"/>
        <w:ind w:left="170" w:right="170"/>
        <w:rPr>
          <w:rFonts w:ascii="Arial" w:eastAsiaTheme="minorHAnsi" w:hAnsi="Arial" w:cs="Arial"/>
          <w:bCs/>
          <w:noProof w:val="0"/>
          <w:color w:val="000000"/>
          <w:position w:val="0"/>
          <w:sz w:val="20"/>
          <w:szCs w:val="20"/>
        </w:rPr>
      </w:pPr>
      <w:r w:rsidRPr="007E6F49">
        <w:rPr>
          <w:rFonts w:ascii="Arial" w:eastAsiaTheme="minorHAnsi" w:hAnsi="Arial" w:cs="Arial"/>
          <w:b/>
          <w:bCs/>
          <w:noProof w:val="0"/>
          <w:color w:val="000000"/>
          <w:position w:val="0"/>
          <w:sz w:val="20"/>
          <w:szCs w:val="20"/>
        </w:rPr>
        <w:t>MADDE 24-</w:t>
      </w:r>
      <w:r w:rsidRPr="007E6F49">
        <w:rPr>
          <w:rFonts w:ascii="Arial" w:eastAsiaTheme="minorHAnsi" w:hAnsi="Arial" w:cs="Arial"/>
          <w:bCs/>
          <w:noProof w:val="0"/>
          <w:color w:val="000000"/>
          <w:position w:val="0"/>
          <w:sz w:val="20"/>
          <w:szCs w:val="20"/>
        </w:rPr>
        <w:t xml:space="preserve"> Bu Kanunda belirtilen suçlara ilişkin soruşturma ve kovuşturma yapılması, konularına göre Müsteşarlık veya Kurul tarafından Cumhuriyet başsavcılığına yazılı başvuruda bulunulmasına bağlıdır. Bu başvuru muhakeme şartı niteliğindedir. Cumhuriyet savcıları kovuşturmaya yer olmadığına karar verirlerse, Müsteşarlık veya Kurul, Ceza Muhakemesi Kanununa göre kendisine tebliğ edilecek bu kararlara karşı itiraza yetkilidir. Bu fıkra uyarınca yapılan soruşturmalar neticesinde açılan kamu davalarında, Müsteşarlık veya Kurulun başvuruda bulunması hâlinde, bunlar başvuru tarihinde katılan sıfatını kazanırlar.”</w:t>
      </w:r>
    </w:p>
    <w:p w14:paraId="16C92625" w14:textId="77777777" w:rsidR="00A174FE" w:rsidRDefault="00A174FE">
      <w:bookmarkStart w:id="3" w:name="_GoBack"/>
      <w:bookmarkEnd w:id="3"/>
    </w:p>
    <w:sectPr w:rsidR="00A174F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FE7DE" w14:textId="77777777" w:rsidR="00B65AB5" w:rsidRDefault="00B65AB5" w:rsidP="006B1087">
      <w:r>
        <w:separator/>
      </w:r>
    </w:p>
  </w:endnote>
  <w:endnote w:type="continuationSeparator" w:id="0">
    <w:p w14:paraId="133C9B15" w14:textId="77777777" w:rsidR="00B65AB5" w:rsidRDefault="00B65AB5" w:rsidP="006B1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E209B" w14:textId="3D5B0D08" w:rsidR="006B1087" w:rsidRPr="006B1087" w:rsidRDefault="006B1087" w:rsidP="006B1087">
    <w:pPr>
      <w:pStyle w:val="AltBilgi"/>
      <w:jc w:val="left"/>
    </w:pPr>
    <w:r>
      <w:rPr>
        <w:rFonts w:ascii="Arial" w:hAnsi="Arial" w:cs="Arial"/>
        <w:color w:val="000000"/>
      </w:rPr>
      <w:fldChar w:fldCharType="begin" w:fldLock="1"/>
    </w:r>
    <w:r>
      <w:rPr>
        <w:rFonts w:ascii="Arial" w:hAnsi="Arial" w:cs="Arial"/>
        <w:color w:val="000000"/>
      </w:rPr>
      <w:instrText xml:space="preserve"> DOCPROPERTY bjFooterEvenPageDocProperty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27BC" w14:textId="419422FA" w:rsidR="006B1087" w:rsidRPr="006B1087" w:rsidRDefault="006B1087" w:rsidP="006B1087">
    <w:pPr>
      <w:pStyle w:val="AltBilgi"/>
      <w:jc w:val="left"/>
    </w:pPr>
    <w:r>
      <w:rPr>
        <w:rFonts w:ascii="Arial" w:hAnsi="Arial" w:cs="Arial"/>
        <w:color w:val="000000"/>
      </w:rPr>
      <w:fldChar w:fldCharType="begin" w:fldLock="1"/>
    </w:r>
    <w:r>
      <w:rPr>
        <w:rFonts w:ascii="Arial" w:hAnsi="Arial" w:cs="Arial"/>
        <w:color w:val="000000"/>
      </w:rPr>
      <w:instrText xml:space="preserve"> DOCPROPERTY bjFooterBothDocProperty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6823" w14:textId="2CF2445A" w:rsidR="006B1087" w:rsidRPr="006B1087" w:rsidRDefault="006B1087" w:rsidP="006B1087">
    <w:pPr>
      <w:pStyle w:val="AltBilgi"/>
      <w:jc w:val="left"/>
    </w:pPr>
    <w:r>
      <w:rPr>
        <w:rFonts w:ascii="Arial" w:hAnsi="Arial" w:cs="Arial"/>
        <w:color w:val="000000"/>
      </w:rPr>
      <w:fldChar w:fldCharType="begin" w:fldLock="1"/>
    </w:r>
    <w:r>
      <w:rPr>
        <w:rFonts w:ascii="Arial" w:hAnsi="Arial" w:cs="Arial"/>
        <w:color w:val="000000"/>
      </w:rPr>
      <w:instrText xml:space="preserve"> DOCPROPERTY bjFooterFirstPageDocProperty \* MERGEFORMAT </w:instrText>
    </w:r>
    <w:r>
      <w:rPr>
        <w:rFonts w:ascii="Arial" w:hAnsi="Arial" w:cs="Arial"/>
        <w:color w:val="000000"/>
      </w:rPr>
      <w:fldChar w:fldCharType="separate"/>
    </w:r>
    <w:r w:rsidRPr="006270D4">
      <w:rPr>
        <w:rFonts w:ascii="Malgun Gothic" w:eastAsia="Malgun Gothic" w:hAnsi="Malgun Gothic" w:cs="Arial"/>
        <w:b/>
        <w:color w:val="999999"/>
        <w:sz w:val="20"/>
        <w:szCs w:val="20"/>
      </w:rPr>
      <w:t>Sınıflandırma|</w:t>
    </w:r>
    <w:r w:rsidRPr="006270D4">
      <w:rPr>
        <w:rFonts w:ascii="Malgun Gothic" w:eastAsia="Malgun Gothic" w:hAnsi="Malgun Gothic" w:cs="Arial"/>
        <w:b/>
        <w:color w:val="339966"/>
        <w:sz w:val="20"/>
        <w:szCs w:val="20"/>
      </w:rPr>
      <w:t>Genel</w:t>
    </w:r>
    <w:r>
      <w:rP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EF06A" w14:textId="77777777" w:rsidR="00B65AB5" w:rsidRDefault="00B65AB5" w:rsidP="006B1087">
      <w:r>
        <w:separator/>
      </w:r>
    </w:p>
  </w:footnote>
  <w:footnote w:type="continuationSeparator" w:id="0">
    <w:p w14:paraId="7102B44C" w14:textId="77777777" w:rsidR="00B65AB5" w:rsidRDefault="00B65AB5" w:rsidP="006B1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092A01" w14:textId="77777777" w:rsidR="006B1087" w:rsidRDefault="006B108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C30E" w14:textId="77777777" w:rsidR="006B1087" w:rsidRDefault="006B108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0D003" w14:textId="77777777" w:rsidR="006B1087" w:rsidRDefault="006B108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84D"/>
    <w:rsid w:val="006B1087"/>
    <w:rsid w:val="00A174FE"/>
    <w:rsid w:val="00B65AB5"/>
    <w:rsid w:val="00C868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CEB4E5-D216-4A1C-B754-C96A12F0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1087"/>
    <w:pPr>
      <w:spacing w:after="0" w:line="240" w:lineRule="auto"/>
      <w:jc w:val="both"/>
    </w:pPr>
    <w:rPr>
      <w:rFonts w:ascii="Times New Roman" w:eastAsia="Times New Roman" w:hAnsi="Times New Roman" w:cs="Times New Roman"/>
      <w:noProof/>
      <w:kern w:val="16"/>
      <w:position w:val="24"/>
      <w:sz w:val="24"/>
      <w:szCs w:val="24"/>
    </w:rPr>
  </w:style>
  <w:style w:type="paragraph" w:styleId="Balk2">
    <w:name w:val="heading 2"/>
    <w:basedOn w:val="Normal"/>
    <w:next w:val="Normal"/>
    <w:link w:val="Balk2Char"/>
    <w:autoRedefine/>
    <w:uiPriority w:val="9"/>
    <w:qFormat/>
    <w:rsid w:val="006B1087"/>
    <w:pPr>
      <w:spacing w:line="276" w:lineRule="auto"/>
      <w:jc w:val="center"/>
      <w:outlineLvl w:val="1"/>
    </w:pPr>
    <w:rPr>
      <w:rFonts w:ascii="Arial" w:eastAsiaTheme="majorEastAsia" w:hAnsi="Arial" w:cs="Arial"/>
      <w:b/>
      <w:bCs/>
      <w:noProof w:val="0"/>
      <w:color w:val="000000"/>
      <w:position w:val="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B1087"/>
    <w:rPr>
      <w:rFonts w:ascii="Arial" w:eastAsiaTheme="majorEastAsia" w:hAnsi="Arial" w:cs="Arial"/>
      <w:b/>
      <w:bCs/>
      <w:color w:val="000000"/>
      <w:kern w:val="16"/>
      <w:sz w:val="24"/>
      <w:szCs w:val="24"/>
    </w:rPr>
  </w:style>
  <w:style w:type="paragraph" w:styleId="stBilgi">
    <w:name w:val="header"/>
    <w:basedOn w:val="Normal"/>
    <w:link w:val="stBilgiChar"/>
    <w:uiPriority w:val="99"/>
    <w:unhideWhenUsed/>
    <w:rsid w:val="006B1087"/>
    <w:pPr>
      <w:tabs>
        <w:tab w:val="center" w:pos="4536"/>
        <w:tab w:val="right" w:pos="9072"/>
      </w:tabs>
    </w:pPr>
  </w:style>
  <w:style w:type="character" w:customStyle="1" w:styleId="stBilgiChar">
    <w:name w:val="Üst Bilgi Char"/>
    <w:basedOn w:val="VarsaylanParagrafYazTipi"/>
    <w:link w:val="stBilgi"/>
    <w:uiPriority w:val="99"/>
    <w:rsid w:val="006B1087"/>
    <w:rPr>
      <w:rFonts w:ascii="Times New Roman" w:eastAsia="Times New Roman" w:hAnsi="Times New Roman" w:cs="Times New Roman"/>
      <w:noProof/>
      <w:kern w:val="16"/>
      <w:position w:val="24"/>
      <w:sz w:val="24"/>
      <w:szCs w:val="24"/>
    </w:rPr>
  </w:style>
  <w:style w:type="paragraph" w:styleId="AltBilgi">
    <w:name w:val="footer"/>
    <w:basedOn w:val="Normal"/>
    <w:link w:val="AltBilgiChar"/>
    <w:uiPriority w:val="99"/>
    <w:unhideWhenUsed/>
    <w:rsid w:val="006B1087"/>
    <w:pPr>
      <w:tabs>
        <w:tab w:val="center" w:pos="4536"/>
        <w:tab w:val="right" w:pos="9072"/>
      </w:tabs>
    </w:pPr>
  </w:style>
  <w:style w:type="character" w:customStyle="1" w:styleId="AltBilgiChar">
    <w:name w:val="Alt Bilgi Char"/>
    <w:basedOn w:val="VarsaylanParagrafYazTipi"/>
    <w:link w:val="AltBilgi"/>
    <w:uiPriority w:val="99"/>
    <w:rsid w:val="006B1087"/>
    <w:rPr>
      <w:rFonts w:ascii="Times New Roman" w:eastAsia="Times New Roman" w:hAnsi="Times New Roman" w:cs="Times New Roman"/>
      <w:noProof/>
      <w:kern w:val="16"/>
      <w:position w:val="24"/>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21DDFB12-2307-445E-B9B0-A4D346CCF86E}">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1410</Words>
  <Characters>8042</Characters>
  <Application>Microsoft Office Word</Application>
  <DocSecurity>0</DocSecurity>
  <Lines>67</Lines>
  <Paragraphs>18</Paragraphs>
  <ScaleCrop>false</ScaleCrop>
  <Company>Emeklilik Gozetim Merkezi</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dcterms:created xsi:type="dcterms:W3CDTF">2023-12-21T19:03:00Z</dcterms:created>
  <dcterms:modified xsi:type="dcterms:W3CDTF">2023-12-21T19:04:00Z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e03e8730-8d02-45d1-8552-bbe884cfde75</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