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B5E0A" w14:textId="77777777" w:rsidR="00EA5AD1" w:rsidRPr="005A09EB" w:rsidRDefault="00EA5AD1" w:rsidP="00EA5AD1">
      <w:pPr>
        <w:autoSpaceDE w:val="0"/>
        <w:autoSpaceDN w:val="0"/>
        <w:spacing w:line="276" w:lineRule="auto"/>
        <w:rPr>
          <w:rFonts w:ascii="Arial" w:hAnsi="Arial" w:cs="Arial"/>
          <w:b/>
          <w:bCs/>
          <w:noProof w:val="0"/>
          <w:kern w:val="0"/>
          <w:position w:val="0"/>
          <w:sz w:val="20"/>
          <w:szCs w:val="20"/>
          <w:u w:val="single"/>
          <w:lang w:eastAsia="tr-TR"/>
        </w:rPr>
      </w:pPr>
      <w:r w:rsidRPr="005A09EB">
        <w:rPr>
          <w:rFonts w:ascii="Arial" w:hAnsi="Arial" w:cs="Arial"/>
          <w:b/>
          <w:bCs/>
          <w:noProof w:val="0"/>
          <w:kern w:val="0"/>
          <w:position w:val="0"/>
          <w:sz w:val="20"/>
          <w:szCs w:val="20"/>
          <w:u w:val="single"/>
          <w:lang w:eastAsia="tr-TR"/>
        </w:rPr>
        <w:t>Hazine Müsteşarlığından:</w:t>
      </w:r>
      <w:r w:rsidRPr="009A7790">
        <w:rPr>
          <w:rFonts w:ascii="Arial" w:hAnsi="Arial" w:cs="Arial"/>
          <w:b/>
          <w:bCs/>
          <w:noProof w:val="0"/>
          <w:kern w:val="0"/>
          <w:position w:val="0"/>
          <w:sz w:val="20"/>
          <w:szCs w:val="20"/>
          <w:lang w:eastAsia="tr-TR"/>
        </w:rPr>
        <w:tab/>
      </w:r>
      <w:r w:rsidRPr="009A7790">
        <w:rPr>
          <w:rFonts w:ascii="Arial" w:hAnsi="Arial" w:cs="Arial"/>
          <w:b/>
          <w:bCs/>
          <w:noProof w:val="0"/>
          <w:kern w:val="0"/>
          <w:position w:val="0"/>
          <w:sz w:val="20"/>
          <w:szCs w:val="20"/>
          <w:lang w:eastAsia="tr-TR"/>
        </w:rPr>
        <w:tab/>
      </w:r>
      <w:r w:rsidRPr="009A7790">
        <w:rPr>
          <w:rFonts w:ascii="Arial" w:hAnsi="Arial" w:cs="Arial"/>
          <w:b/>
          <w:bCs/>
          <w:noProof w:val="0"/>
          <w:kern w:val="0"/>
          <w:position w:val="0"/>
          <w:sz w:val="20"/>
          <w:szCs w:val="20"/>
          <w:lang w:eastAsia="tr-TR"/>
        </w:rPr>
        <w:tab/>
      </w:r>
      <w:r w:rsidRPr="009A7790">
        <w:rPr>
          <w:rFonts w:ascii="Arial" w:hAnsi="Arial" w:cs="Arial"/>
          <w:b/>
          <w:bCs/>
          <w:noProof w:val="0"/>
          <w:kern w:val="0"/>
          <w:position w:val="0"/>
          <w:sz w:val="20"/>
          <w:szCs w:val="20"/>
          <w:lang w:eastAsia="tr-TR"/>
        </w:rPr>
        <w:tab/>
      </w:r>
      <w:r w:rsidRPr="009A7790">
        <w:rPr>
          <w:rFonts w:ascii="Arial" w:hAnsi="Arial" w:cs="Arial"/>
          <w:b/>
          <w:bCs/>
          <w:noProof w:val="0"/>
          <w:kern w:val="0"/>
          <w:position w:val="0"/>
          <w:sz w:val="20"/>
          <w:szCs w:val="20"/>
          <w:lang w:eastAsia="tr-TR"/>
        </w:rPr>
        <w:tab/>
      </w:r>
      <w:r w:rsidRPr="009A7790">
        <w:rPr>
          <w:rFonts w:ascii="Arial" w:hAnsi="Arial" w:cs="Arial"/>
          <w:b/>
          <w:bCs/>
          <w:noProof w:val="0"/>
          <w:kern w:val="0"/>
          <w:position w:val="0"/>
          <w:sz w:val="20"/>
          <w:szCs w:val="20"/>
          <w:lang w:eastAsia="tr-TR"/>
        </w:rPr>
        <w:tab/>
      </w:r>
      <w:r w:rsidRPr="009A7790">
        <w:rPr>
          <w:rFonts w:ascii="Arial" w:hAnsi="Arial" w:cs="Arial"/>
          <w:b/>
          <w:bCs/>
          <w:noProof w:val="0"/>
          <w:kern w:val="0"/>
          <w:position w:val="0"/>
          <w:sz w:val="20"/>
          <w:szCs w:val="20"/>
          <w:lang w:eastAsia="tr-TR"/>
        </w:rPr>
        <w:tab/>
      </w:r>
      <w:r w:rsidRPr="009A7790">
        <w:rPr>
          <w:rFonts w:ascii="Arial" w:hAnsi="Arial" w:cs="Arial"/>
          <w:b/>
          <w:bCs/>
          <w:noProof w:val="0"/>
          <w:kern w:val="0"/>
          <w:position w:val="0"/>
          <w:sz w:val="20"/>
          <w:szCs w:val="20"/>
          <w:lang w:eastAsia="tr-TR"/>
        </w:rPr>
        <w:tab/>
        <w:t>11.04.2008</w:t>
      </w:r>
    </w:p>
    <w:p w14:paraId="737374AE" w14:textId="77777777" w:rsidR="00EA5AD1" w:rsidRPr="009A7790" w:rsidRDefault="00EA5AD1" w:rsidP="00EA5AD1">
      <w:pPr>
        <w:autoSpaceDE w:val="0"/>
        <w:autoSpaceDN w:val="0"/>
        <w:spacing w:line="276" w:lineRule="auto"/>
        <w:rPr>
          <w:rFonts w:ascii="Arial" w:hAnsi="Arial" w:cs="Arial"/>
          <w:b/>
          <w:bCs/>
          <w:noProof w:val="0"/>
          <w:kern w:val="0"/>
          <w:position w:val="0"/>
          <w:sz w:val="20"/>
          <w:szCs w:val="20"/>
          <w:lang w:eastAsia="tr-TR"/>
        </w:rPr>
      </w:pPr>
    </w:p>
    <w:p w14:paraId="2F502941" w14:textId="77777777" w:rsidR="00EA5AD1" w:rsidRPr="009A7790" w:rsidRDefault="00EA5AD1" w:rsidP="00EA5AD1">
      <w:pPr>
        <w:autoSpaceDE w:val="0"/>
        <w:autoSpaceDN w:val="0"/>
        <w:spacing w:line="276" w:lineRule="auto"/>
        <w:jc w:val="center"/>
        <w:rPr>
          <w:rFonts w:ascii="Arial" w:hAnsi="Arial" w:cs="Arial"/>
          <w:b/>
          <w:bCs/>
          <w:noProof w:val="0"/>
          <w:kern w:val="0"/>
          <w:position w:val="0"/>
          <w:sz w:val="20"/>
          <w:szCs w:val="20"/>
          <w:lang w:eastAsia="tr-TR"/>
        </w:rPr>
      </w:pPr>
      <w:bookmarkStart w:id="0" w:name="_Toc10203582"/>
      <w:bookmarkStart w:id="1" w:name="_Toc91679124"/>
      <w:bookmarkStart w:id="2" w:name="_Toc105418756"/>
      <w:r w:rsidRPr="009A7790">
        <w:rPr>
          <w:rFonts w:ascii="Arial" w:hAnsi="Arial" w:cs="Arial"/>
          <w:b/>
          <w:bCs/>
          <w:noProof w:val="0"/>
          <w:kern w:val="0"/>
          <w:position w:val="0"/>
          <w:sz w:val="20"/>
          <w:szCs w:val="20"/>
          <w:lang w:eastAsia="tr-TR"/>
        </w:rPr>
        <w:t>TEHLİKELİ HASTALIKLAR TEMİNATININ EK TEMİNAT OLARAK VERİLMESİ HAKKINDA SEKTÖR DUYURUSU (2008/16)</w:t>
      </w:r>
      <w:bookmarkEnd w:id="0"/>
      <w:bookmarkEnd w:id="1"/>
      <w:bookmarkEnd w:id="2"/>
    </w:p>
    <w:p w14:paraId="314B67C6" w14:textId="77777777" w:rsidR="00EA5AD1" w:rsidRPr="009A7790" w:rsidRDefault="00EA5AD1" w:rsidP="00EA5AD1">
      <w:pPr>
        <w:tabs>
          <w:tab w:val="left" w:pos="566"/>
        </w:tabs>
        <w:spacing w:line="276" w:lineRule="auto"/>
        <w:rPr>
          <w:rFonts w:ascii="Arial" w:eastAsia="ヒラギノ明朝 Pro W3" w:hAnsi="Arial" w:cs="Arial"/>
          <w:noProof w:val="0"/>
          <w:kern w:val="0"/>
          <w:position w:val="0"/>
          <w:sz w:val="20"/>
          <w:szCs w:val="20"/>
        </w:rPr>
      </w:pPr>
      <w:r w:rsidRPr="009A7790">
        <w:rPr>
          <w:rFonts w:ascii="Arial" w:eastAsia="ヒラギノ明朝 Pro W3" w:hAnsi="Arial" w:cs="Arial"/>
          <w:noProof w:val="0"/>
          <w:kern w:val="0"/>
          <w:position w:val="0"/>
          <w:sz w:val="20"/>
          <w:szCs w:val="20"/>
        </w:rPr>
        <w:t xml:space="preserve"> </w:t>
      </w:r>
    </w:p>
    <w:p w14:paraId="34D8E382" w14:textId="77777777" w:rsidR="00EA5AD1" w:rsidRPr="009A7790" w:rsidRDefault="00EA5AD1" w:rsidP="00EA5AD1">
      <w:pPr>
        <w:tabs>
          <w:tab w:val="left" w:pos="566"/>
        </w:tabs>
        <w:spacing w:line="276" w:lineRule="auto"/>
        <w:rPr>
          <w:rFonts w:ascii="Arial" w:eastAsia="ヒラギノ明朝 Pro W3" w:hAnsi="Arial" w:cs="Arial"/>
          <w:noProof w:val="0"/>
          <w:kern w:val="0"/>
          <w:position w:val="0"/>
          <w:sz w:val="20"/>
          <w:szCs w:val="20"/>
        </w:rPr>
      </w:pPr>
    </w:p>
    <w:p w14:paraId="7F9CBE20" w14:textId="77777777" w:rsidR="00EA5AD1" w:rsidRPr="009A7790" w:rsidRDefault="00EA5AD1" w:rsidP="00EA5AD1">
      <w:pPr>
        <w:tabs>
          <w:tab w:val="left" w:pos="566"/>
        </w:tabs>
        <w:spacing w:line="276" w:lineRule="auto"/>
        <w:rPr>
          <w:rFonts w:ascii="Arial" w:eastAsia="ヒラギノ明朝 Pro W3" w:hAnsi="Arial" w:cs="Arial"/>
          <w:noProof w:val="0"/>
          <w:kern w:val="0"/>
          <w:position w:val="0"/>
          <w:sz w:val="20"/>
          <w:szCs w:val="20"/>
        </w:rPr>
      </w:pPr>
      <w:r w:rsidRPr="009A7790">
        <w:rPr>
          <w:rFonts w:ascii="Arial" w:eastAsia="ヒラギノ明朝 Pro W3" w:hAnsi="Arial" w:cs="Arial"/>
          <w:noProof w:val="0"/>
          <w:kern w:val="0"/>
          <w:position w:val="0"/>
          <w:sz w:val="20"/>
          <w:szCs w:val="20"/>
        </w:rPr>
        <w:t>Bilindiği üzere, 2007/1 Sayılı Sigorta Branşlarına İlişkin Tebliğin Uygulama Esaslarına Dair 2007/11 sayılı Genelgenin 10 uncu maddesi  “</w:t>
      </w:r>
      <w:r w:rsidRPr="009A7790">
        <w:rPr>
          <w:rFonts w:ascii="Arial" w:eastAsia="ヒラギノ明朝 Pro W3" w:hAnsi="Arial" w:cs="Arial"/>
          <w:i/>
          <w:noProof w:val="0"/>
          <w:kern w:val="0"/>
          <w:position w:val="0"/>
          <w:sz w:val="20"/>
          <w:szCs w:val="20"/>
        </w:rPr>
        <w:t>Bireysel Emeklilik Tasarruf ve Yatırım Sistemi Kanunu’nun 8 inci maddesi uyarınca emeklilik şi</w:t>
      </w:r>
      <w:bookmarkStart w:id="3" w:name="_GoBack"/>
      <w:bookmarkEnd w:id="3"/>
      <w:r w:rsidRPr="009A7790">
        <w:rPr>
          <w:rFonts w:ascii="Arial" w:eastAsia="ヒラギノ明朝 Pro W3" w:hAnsi="Arial" w:cs="Arial"/>
          <w:i/>
          <w:noProof w:val="0"/>
          <w:kern w:val="0"/>
          <w:position w:val="0"/>
          <w:sz w:val="20"/>
          <w:szCs w:val="20"/>
        </w:rPr>
        <w:t>rketleri, Kaza Branşı yanında Hayat, Evlilik/Doğum, Yatırım Fonlu Sigorta ve Sermaye İtfa Sigortası Branşlarında ruhsat alabilir. Söz konusu madde ve anılan Kanun’un Geçici 1 inci Maddesinin ikinci fıkrası uyarınca, bireysel emeklilik şirketlerinin Hastalık/Sağlık branşında faaliyet göstermesi mümkün olmadığı gibi bu branşlar altında verilen teminatları ek teminat olarak sunması mümkün değildir.</w:t>
      </w:r>
      <w:r w:rsidRPr="009A7790">
        <w:rPr>
          <w:rFonts w:ascii="Arial" w:eastAsia="ヒラギノ明朝 Pro W3" w:hAnsi="Arial" w:cs="Arial"/>
          <w:noProof w:val="0"/>
          <w:kern w:val="0"/>
          <w:position w:val="0"/>
          <w:sz w:val="20"/>
          <w:szCs w:val="20"/>
        </w:rPr>
        <w:t>” hükmünü içermektedir.</w:t>
      </w:r>
    </w:p>
    <w:p w14:paraId="3B36D1E7" w14:textId="77777777" w:rsidR="00EA5AD1" w:rsidRPr="009A7790" w:rsidRDefault="00EA5AD1" w:rsidP="00EA5AD1">
      <w:pPr>
        <w:tabs>
          <w:tab w:val="left" w:pos="566"/>
        </w:tabs>
        <w:spacing w:line="276" w:lineRule="auto"/>
        <w:rPr>
          <w:rFonts w:ascii="Arial" w:eastAsia="ヒラギノ明朝 Pro W3" w:hAnsi="Arial" w:cs="Arial"/>
          <w:noProof w:val="0"/>
          <w:kern w:val="0"/>
          <w:position w:val="0"/>
          <w:sz w:val="20"/>
          <w:szCs w:val="20"/>
        </w:rPr>
      </w:pPr>
    </w:p>
    <w:p w14:paraId="411F638F" w14:textId="77777777" w:rsidR="00EA5AD1" w:rsidRPr="009A7790" w:rsidRDefault="00EA5AD1" w:rsidP="00EA5AD1">
      <w:pPr>
        <w:tabs>
          <w:tab w:val="left" w:pos="566"/>
        </w:tabs>
        <w:spacing w:line="276" w:lineRule="auto"/>
        <w:rPr>
          <w:rFonts w:ascii="Arial" w:eastAsia="ヒラギノ明朝 Pro W3" w:hAnsi="Arial" w:cs="Arial"/>
          <w:noProof w:val="0"/>
          <w:kern w:val="0"/>
          <w:position w:val="0"/>
          <w:sz w:val="20"/>
          <w:szCs w:val="20"/>
        </w:rPr>
      </w:pPr>
      <w:r w:rsidRPr="009A7790">
        <w:rPr>
          <w:rFonts w:ascii="Arial" w:eastAsia="ヒラギノ明朝 Pro W3" w:hAnsi="Arial" w:cs="Arial"/>
          <w:noProof w:val="0"/>
          <w:kern w:val="0"/>
          <w:position w:val="0"/>
          <w:sz w:val="20"/>
          <w:szCs w:val="20"/>
        </w:rPr>
        <w:t>Diğer taraftan, “2007/1 Sayılı Sigorta Branşlarına İlişkin Tebliğ Uyarınca Tehlikeli Hastalıklar Ve Sürekli Sakatlık Teminatının  Ek Teminat Şeklinde Verilmesi Hakkında Sektör Duyurusu (2007/15)”nda, emeklilik şirketlerinin hastalık/sağlık branşları altında verilen teminatları ek teminat olarak sunamayacağı ancak tehlikeli hastalıklar teminatını olası vefat riskine bağlı ödemenin hızlandırılması şeklinde vermesinde bir sakınca bulunmadığı ifade edilmektedir.</w:t>
      </w:r>
    </w:p>
    <w:p w14:paraId="6C3B3A37" w14:textId="77777777" w:rsidR="00EA5AD1" w:rsidRPr="009A7790" w:rsidRDefault="00EA5AD1" w:rsidP="00EA5AD1">
      <w:pPr>
        <w:tabs>
          <w:tab w:val="left" w:pos="566"/>
        </w:tabs>
        <w:spacing w:line="276" w:lineRule="auto"/>
        <w:rPr>
          <w:rFonts w:ascii="Arial" w:eastAsia="ヒラギノ明朝 Pro W3" w:hAnsi="Arial" w:cs="Arial"/>
          <w:noProof w:val="0"/>
          <w:kern w:val="0"/>
          <w:position w:val="0"/>
          <w:sz w:val="20"/>
          <w:szCs w:val="20"/>
        </w:rPr>
      </w:pPr>
    </w:p>
    <w:p w14:paraId="373544F2" w14:textId="77777777" w:rsidR="00EA5AD1" w:rsidRPr="009A7790" w:rsidRDefault="00EA5AD1" w:rsidP="00EA5AD1">
      <w:pPr>
        <w:tabs>
          <w:tab w:val="left" w:pos="566"/>
        </w:tabs>
        <w:spacing w:line="276" w:lineRule="auto"/>
        <w:rPr>
          <w:rFonts w:ascii="Arial" w:eastAsia="ヒラギノ明朝 Pro W3" w:hAnsi="Arial" w:cs="Arial"/>
          <w:noProof w:val="0"/>
          <w:kern w:val="0"/>
          <w:position w:val="0"/>
          <w:sz w:val="20"/>
          <w:szCs w:val="20"/>
        </w:rPr>
      </w:pPr>
      <w:r w:rsidRPr="009A7790">
        <w:rPr>
          <w:rFonts w:ascii="Arial" w:eastAsia="ヒラギノ明朝 Pro W3" w:hAnsi="Arial" w:cs="Arial"/>
          <w:noProof w:val="0"/>
          <w:kern w:val="0"/>
          <w:position w:val="0"/>
          <w:sz w:val="20"/>
          <w:szCs w:val="20"/>
        </w:rPr>
        <w:t>Bununla birlikte, 08.01.2008 tarihli ve 26750 sayılı Resmi Gazetede yayımlanan “Emeklilik Şirketleri Kuruluş ve Çalışma  Esaslarına İlişkin Yönetmelik”in 10 uncu maddesi “Şirket, sigortacılık mevzuatına göre hayat sigortası ve kaza sigortası branşlarında ruhsat alabilir ve bu ruhsatlarla sigorta şirketince verilebilen tüm teminatları ve ek teminatları verebilir” hükmünü içermektedir.</w:t>
      </w:r>
    </w:p>
    <w:p w14:paraId="11A2C039" w14:textId="77777777" w:rsidR="00EA5AD1" w:rsidRPr="009A7790" w:rsidRDefault="00EA5AD1" w:rsidP="00EA5AD1">
      <w:pPr>
        <w:tabs>
          <w:tab w:val="left" w:pos="566"/>
        </w:tabs>
        <w:spacing w:line="276" w:lineRule="auto"/>
        <w:rPr>
          <w:rFonts w:ascii="Arial" w:eastAsia="ヒラギノ明朝 Pro W3" w:hAnsi="Arial" w:cs="Arial"/>
          <w:noProof w:val="0"/>
          <w:kern w:val="0"/>
          <w:position w:val="0"/>
          <w:sz w:val="20"/>
          <w:szCs w:val="20"/>
        </w:rPr>
      </w:pPr>
    </w:p>
    <w:p w14:paraId="2BB5090D" w14:textId="77777777" w:rsidR="00EA5AD1" w:rsidRPr="009A7790" w:rsidRDefault="00EA5AD1" w:rsidP="00EA5AD1">
      <w:pPr>
        <w:tabs>
          <w:tab w:val="left" w:pos="566"/>
        </w:tabs>
        <w:spacing w:line="276" w:lineRule="auto"/>
        <w:rPr>
          <w:rFonts w:ascii="Arial" w:eastAsia="ヒラギノ明朝 Pro W3" w:hAnsi="Arial" w:cs="Arial"/>
          <w:noProof w:val="0"/>
          <w:kern w:val="0"/>
          <w:position w:val="0"/>
          <w:sz w:val="20"/>
          <w:szCs w:val="20"/>
        </w:rPr>
      </w:pPr>
      <w:r w:rsidRPr="009A7790">
        <w:rPr>
          <w:rFonts w:ascii="Arial" w:eastAsia="ヒラギノ明朝 Pro W3" w:hAnsi="Arial" w:cs="Arial"/>
          <w:noProof w:val="0"/>
          <w:kern w:val="0"/>
          <w:position w:val="0"/>
          <w:sz w:val="20"/>
          <w:szCs w:val="20"/>
        </w:rPr>
        <w:t>Yeni yapılan düzenleme kapsamında, emeklilik şirketleri hayat branşında ruhsatları bulunması kaydıyla, tehlikeli hastalıklar teminatını başka bir şart aranmaksızın hayat sigortasına ek teminat şeklinde verebilir. Ancak, söz konusu teminatın emeklilik şirketlerince tek başına verilmesi mümkün değildir.</w:t>
      </w:r>
    </w:p>
    <w:p w14:paraId="079F947E"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4A142" w14:textId="77777777" w:rsidR="000B6496" w:rsidRDefault="000B6496" w:rsidP="00EA5AD1">
      <w:r>
        <w:separator/>
      </w:r>
    </w:p>
  </w:endnote>
  <w:endnote w:type="continuationSeparator" w:id="0">
    <w:p w14:paraId="692DF243" w14:textId="77777777" w:rsidR="000B6496" w:rsidRDefault="000B6496" w:rsidP="00EA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7ED8" w14:textId="180D06E2" w:rsidR="00EA5AD1" w:rsidRPr="00EA5AD1" w:rsidRDefault="00EA5AD1" w:rsidP="00EA5AD1">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6CE60" w14:textId="6A146D27" w:rsidR="00EA5AD1" w:rsidRPr="00EA5AD1" w:rsidRDefault="00EA5AD1" w:rsidP="00EA5AD1">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4F02D" w14:textId="6E525D82" w:rsidR="00EA5AD1" w:rsidRPr="00EA5AD1" w:rsidRDefault="00EA5AD1" w:rsidP="00EA5AD1">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6629E" w14:textId="77777777" w:rsidR="000B6496" w:rsidRDefault="000B6496" w:rsidP="00EA5AD1">
      <w:r>
        <w:separator/>
      </w:r>
    </w:p>
  </w:footnote>
  <w:footnote w:type="continuationSeparator" w:id="0">
    <w:p w14:paraId="57B6227B" w14:textId="77777777" w:rsidR="000B6496" w:rsidRDefault="000B6496" w:rsidP="00EA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23A3F" w14:textId="77777777" w:rsidR="00EA5AD1" w:rsidRDefault="00EA5A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AF5A" w14:textId="77777777" w:rsidR="00EA5AD1" w:rsidRDefault="00EA5AD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0752" w14:textId="77777777" w:rsidR="00EA5AD1" w:rsidRDefault="00EA5AD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4C"/>
    <w:rsid w:val="000B6496"/>
    <w:rsid w:val="0010604C"/>
    <w:rsid w:val="00A174FE"/>
    <w:rsid w:val="00EA5A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88BB4E-27BD-492D-8406-827E178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AD1"/>
    <w:pPr>
      <w:spacing w:after="0" w:line="240" w:lineRule="auto"/>
      <w:jc w:val="both"/>
    </w:pPr>
    <w:rPr>
      <w:rFonts w:ascii="Times New Roman" w:eastAsia="Times New Roman" w:hAnsi="Times New Roman" w:cs="Times New Roman"/>
      <w:noProof/>
      <w:kern w:val="16"/>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A5AD1"/>
    <w:pPr>
      <w:tabs>
        <w:tab w:val="center" w:pos="4536"/>
        <w:tab w:val="right" w:pos="9072"/>
      </w:tabs>
    </w:pPr>
  </w:style>
  <w:style w:type="character" w:customStyle="1" w:styleId="stBilgiChar">
    <w:name w:val="Üst Bilgi Char"/>
    <w:basedOn w:val="VarsaylanParagrafYazTipi"/>
    <w:link w:val="stBilgi"/>
    <w:uiPriority w:val="99"/>
    <w:rsid w:val="00EA5AD1"/>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EA5AD1"/>
    <w:pPr>
      <w:tabs>
        <w:tab w:val="center" w:pos="4536"/>
        <w:tab w:val="right" w:pos="9072"/>
      </w:tabs>
    </w:pPr>
  </w:style>
  <w:style w:type="character" w:customStyle="1" w:styleId="AltBilgiChar">
    <w:name w:val="Alt Bilgi Char"/>
    <w:basedOn w:val="VarsaylanParagrafYazTipi"/>
    <w:link w:val="AltBilgi"/>
    <w:uiPriority w:val="99"/>
    <w:rsid w:val="00EA5AD1"/>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74CE395-55A3-4446-B322-B7F03DF43F1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Company>Emeklilik Gozetim Merkezi</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2023-12-21T19:13:00Z</dcterms:created>
  <dcterms:modified xsi:type="dcterms:W3CDTF">2023-12-21T19:14:00Z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92c32e1e-4196-4a3a-b14a-69df55e88a5d</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