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23846" w14:textId="77777777" w:rsidR="00C5478D" w:rsidRPr="004C351C" w:rsidRDefault="00C5478D" w:rsidP="00C5478D">
      <w:pPr>
        <w:widowControl w:val="0"/>
        <w:autoSpaceDE w:val="0"/>
        <w:autoSpaceDN w:val="0"/>
        <w:adjustRightInd w:val="0"/>
        <w:ind w:left="170" w:right="170"/>
        <w:jc w:val="left"/>
        <w:rPr>
          <w:rFonts w:ascii="Arial" w:hAnsi="Arial" w:cs="Arial"/>
          <w:b/>
          <w:bCs/>
          <w:noProof w:val="0"/>
          <w:kern w:val="0"/>
          <w:position w:val="0"/>
          <w:sz w:val="20"/>
          <w:szCs w:val="20"/>
          <w:u w:val="single"/>
          <w:lang w:eastAsia="tr-TR"/>
        </w:rPr>
      </w:pPr>
      <w:r w:rsidRPr="004C351C">
        <w:rPr>
          <w:rFonts w:ascii="Arial" w:hAnsi="Arial" w:cs="Arial"/>
          <w:b/>
          <w:bCs/>
          <w:noProof w:val="0"/>
          <w:kern w:val="0"/>
          <w:position w:val="0"/>
          <w:sz w:val="20"/>
          <w:szCs w:val="20"/>
          <w:u w:val="single"/>
          <w:lang w:eastAsia="tr-TR"/>
        </w:rPr>
        <w:t>Resmi Gazete Dışından Kaynak</w:t>
      </w:r>
    </w:p>
    <w:p w14:paraId="2FC5AB60" w14:textId="77777777" w:rsidR="00C5478D" w:rsidRPr="004C351C" w:rsidRDefault="00C5478D" w:rsidP="00C5478D">
      <w:pPr>
        <w:widowControl w:val="0"/>
        <w:autoSpaceDE w:val="0"/>
        <w:autoSpaceDN w:val="0"/>
        <w:adjustRightInd w:val="0"/>
        <w:ind w:left="170" w:right="170"/>
        <w:jc w:val="left"/>
        <w:rPr>
          <w:rFonts w:ascii="Arial" w:hAnsi="Arial" w:cs="Arial"/>
          <w:b/>
          <w:bCs/>
          <w:noProof w:val="0"/>
          <w:kern w:val="0"/>
          <w:position w:val="0"/>
          <w:sz w:val="20"/>
          <w:szCs w:val="20"/>
          <w:u w:val="single"/>
          <w:lang w:eastAsia="tr-TR"/>
        </w:rPr>
      </w:pPr>
      <w:r w:rsidRPr="004C351C">
        <w:rPr>
          <w:rFonts w:ascii="Arial" w:hAnsi="Arial" w:cs="Arial"/>
          <w:b/>
          <w:bCs/>
          <w:noProof w:val="0"/>
          <w:kern w:val="0"/>
          <w:position w:val="0"/>
          <w:sz w:val="20"/>
          <w:szCs w:val="20"/>
          <w:u w:val="single"/>
          <w:lang w:eastAsia="tr-TR"/>
        </w:rPr>
        <w:t>MALİYE BAKANLIĞI</w:t>
      </w:r>
    </w:p>
    <w:p w14:paraId="4D4C4276" w14:textId="77777777" w:rsidR="00C5478D" w:rsidRPr="004C351C" w:rsidRDefault="00C5478D" w:rsidP="00C5478D">
      <w:pPr>
        <w:widowControl w:val="0"/>
        <w:autoSpaceDE w:val="0"/>
        <w:autoSpaceDN w:val="0"/>
        <w:adjustRightInd w:val="0"/>
        <w:ind w:left="170" w:right="170"/>
        <w:jc w:val="left"/>
        <w:rPr>
          <w:rFonts w:ascii="Arial" w:hAnsi="Arial" w:cs="Arial"/>
          <w:b/>
          <w:bCs/>
          <w:noProof w:val="0"/>
          <w:kern w:val="0"/>
          <w:position w:val="0"/>
          <w:sz w:val="20"/>
          <w:szCs w:val="20"/>
          <w:u w:val="single"/>
          <w:lang w:eastAsia="tr-TR"/>
        </w:rPr>
      </w:pPr>
      <w:r w:rsidRPr="004C351C">
        <w:rPr>
          <w:rFonts w:ascii="Arial" w:hAnsi="Arial" w:cs="Arial"/>
          <w:b/>
          <w:bCs/>
          <w:noProof w:val="0"/>
          <w:kern w:val="0"/>
          <w:position w:val="0"/>
          <w:sz w:val="20"/>
          <w:szCs w:val="20"/>
          <w:u w:val="single"/>
          <w:lang w:eastAsia="tr-TR"/>
        </w:rPr>
        <w:t>Gelir İdaresi Başkanlığı</w:t>
      </w:r>
      <w:bookmarkStart w:id="0" w:name="_GoBack"/>
      <w:bookmarkEnd w:id="0"/>
    </w:p>
    <w:p w14:paraId="019E98BD" w14:textId="77777777" w:rsidR="00C5478D" w:rsidRPr="00C82C1C" w:rsidRDefault="00C5478D" w:rsidP="00C5478D">
      <w:pPr>
        <w:widowControl w:val="0"/>
        <w:spacing w:line="276" w:lineRule="auto"/>
        <w:ind w:left="170" w:right="170"/>
        <w:rPr>
          <w:rFonts w:ascii="Arial" w:eastAsiaTheme="minorHAnsi" w:hAnsi="Arial" w:cs="Arial"/>
          <w:b/>
          <w:noProof w:val="0"/>
          <w:color w:val="000000"/>
          <w:position w:val="0"/>
          <w:sz w:val="20"/>
          <w:szCs w:val="20"/>
        </w:rPr>
      </w:pPr>
    </w:p>
    <w:p w14:paraId="3C564568" w14:textId="77777777" w:rsidR="00C5478D" w:rsidRPr="00C82C1C" w:rsidRDefault="00C5478D" w:rsidP="00C5478D">
      <w:pPr>
        <w:widowControl w:val="0"/>
        <w:spacing w:line="276" w:lineRule="auto"/>
        <w:ind w:left="170" w:right="170"/>
        <w:rPr>
          <w:rFonts w:ascii="Arial" w:eastAsiaTheme="minorHAnsi" w:hAnsi="Arial" w:cs="Arial"/>
          <w:noProof w:val="0"/>
          <w:color w:val="000000"/>
          <w:position w:val="0"/>
          <w:sz w:val="20"/>
          <w:szCs w:val="20"/>
        </w:rPr>
      </w:pPr>
      <w:r w:rsidRPr="00C82C1C">
        <w:rPr>
          <w:rFonts w:ascii="Arial" w:eastAsiaTheme="minorHAnsi" w:hAnsi="Arial" w:cs="Arial"/>
          <w:b/>
          <w:noProof w:val="0"/>
          <w:color w:val="000000"/>
          <w:position w:val="0"/>
          <w:sz w:val="20"/>
          <w:szCs w:val="20"/>
        </w:rPr>
        <w:t xml:space="preserve">Sayı : </w:t>
      </w:r>
      <w:r w:rsidRPr="00C82C1C">
        <w:rPr>
          <w:rFonts w:ascii="Arial" w:eastAsiaTheme="minorHAnsi" w:hAnsi="Arial" w:cs="Arial"/>
          <w:noProof w:val="0"/>
          <w:color w:val="000000"/>
          <w:position w:val="0"/>
          <w:sz w:val="20"/>
          <w:szCs w:val="20"/>
        </w:rPr>
        <w:t xml:space="preserve">B.07.1.GİB.0.06.36/3676-299-26419 </w:t>
      </w:r>
    </w:p>
    <w:p w14:paraId="54B169D8" w14:textId="77777777" w:rsidR="00C5478D" w:rsidRPr="00C82C1C" w:rsidRDefault="00C5478D" w:rsidP="00C5478D">
      <w:pPr>
        <w:widowControl w:val="0"/>
        <w:spacing w:line="276" w:lineRule="auto"/>
        <w:ind w:left="170" w:right="170"/>
        <w:rPr>
          <w:rFonts w:ascii="Arial" w:eastAsiaTheme="minorHAnsi" w:hAnsi="Arial" w:cs="Arial"/>
          <w:b/>
          <w:noProof w:val="0"/>
          <w:color w:val="000000"/>
          <w:position w:val="0"/>
          <w:sz w:val="20"/>
          <w:szCs w:val="20"/>
        </w:rPr>
      </w:pPr>
      <w:r w:rsidRPr="00C82C1C">
        <w:rPr>
          <w:rFonts w:ascii="Arial" w:eastAsiaTheme="minorHAnsi" w:hAnsi="Arial" w:cs="Arial"/>
          <w:b/>
          <w:noProof w:val="0"/>
          <w:color w:val="000000"/>
          <w:position w:val="0"/>
          <w:sz w:val="20"/>
          <w:szCs w:val="20"/>
        </w:rPr>
        <w:t>Konu :</w:t>
      </w:r>
    </w:p>
    <w:p w14:paraId="35365837" w14:textId="77777777" w:rsidR="00C5478D" w:rsidRPr="00C26991" w:rsidRDefault="00C5478D" w:rsidP="00C5478D">
      <w:pPr>
        <w:pStyle w:val="HTMLncedenBiimlendirilmi"/>
        <w:rPr>
          <w:rFonts w:ascii="Arial" w:hAnsi="Arial" w:cs="Arial"/>
          <w:b/>
          <w:bCs/>
          <w:noProof w:val="0"/>
          <w:color w:val="000000"/>
          <w:kern w:val="0"/>
          <w:position w:val="0"/>
        </w:rPr>
      </w:pPr>
    </w:p>
    <w:p w14:paraId="00E2FA2B" w14:textId="77777777" w:rsidR="00C5478D" w:rsidRPr="00C26991" w:rsidRDefault="00C5478D" w:rsidP="00C5478D">
      <w:pPr>
        <w:pStyle w:val="Balk2"/>
      </w:pPr>
      <w:bookmarkStart w:id="1" w:name="_Toc10203574"/>
      <w:bookmarkStart w:id="2" w:name="_Toc91679117"/>
      <w:bookmarkStart w:id="3" w:name="_Toc105418749"/>
      <w:r w:rsidRPr="00C26991">
        <w:t>TAHSİLAT İÇ GENELGESİ</w:t>
      </w:r>
      <w:r>
        <w:t xml:space="preserve"> </w:t>
      </w:r>
      <w:r w:rsidRPr="00C26991">
        <w:t>SERİ NO: 2007/2</w:t>
      </w:r>
      <w:bookmarkEnd w:id="1"/>
      <w:bookmarkEnd w:id="2"/>
      <w:bookmarkEnd w:id="3"/>
    </w:p>
    <w:p w14:paraId="1EA40257" w14:textId="77777777" w:rsidR="00C5478D" w:rsidRPr="00C26991" w:rsidRDefault="00C5478D" w:rsidP="00C5478D">
      <w:pPr>
        <w:pStyle w:val="HTMLncedenBiimlendirilmi"/>
        <w:jc w:val="center"/>
        <w:rPr>
          <w:rFonts w:ascii="Arial" w:hAnsi="Arial" w:cs="Arial"/>
          <w:bCs/>
          <w:noProof w:val="0"/>
          <w:color w:val="000000"/>
          <w:kern w:val="0"/>
          <w:position w:val="0"/>
        </w:rPr>
      </w:pPr>
    </w:p>
    <w:p w14:paraId="14FA785C" w14:textId="77777777" w:rsidR="00C5478D" w:rsidRPr="00C26991" w:rsidRDefault="00C5478D" w:rsidP="00C5478D">
      <w:pPr>
        <w:pStyle w:val="HTMLncedenBiimlendirilmi"/>
        <w:rPr>
          <w:rFonts w:ascii="Arial" w:hAnsi="Arial" w:cs="Arial"/>
          <w:bCs/>
          <w:noProof w:val="0"/>
          <w:color w:val="000000"/>
          <w:kern w:val="0"/>
          <w:position w:val="0"/>
        </w:rPr>
      </w:pPr>
    </w:p>
    <w:p w14:paraId="67E81B9A"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 VERGİ DAİRESİ BAŞKANLIĞINA</w:t>
      </w:r>
    </w:p>
    <w:p w14:paraId="4E77D1A7"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65B2C8A2"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16C7EE4F"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 xml:space="preserve">Bakanlığımıza intikal eden olaylardan, vadesi geldiği halde ödenmemiş olan kamu alacaklarının 6183 sayılı Kanunun cebri takibata ilişkin hükümlerine göre takibi aşamalarında, mükelleflerin 4632 sayılı Bireysel Emeklilik Tasarruf ve Yatırım Sistemi Kanunu kapsamındaki bireysel emeklilik hesaplarının da haczi yoluna gidildiği, bu durumun ise gerek bu hesapların yer aldığı emeklilik yatırım fonlarını bünyesinde bulunduran emeklilik şirketlerinin, gerekse katılımcıların mağduriyetlerine neden olduğu anlaşılmakta olup konu hakkında aşağıdaki açıklamaların yapılmasına gerek duyulmuştur. </w:t>
      </w:r>
    </w:p>
    <w:p w14:paraId="0F0DFF0E" w14:textId="77777777" w:rsidR="00C5478D" w:rsidRPr="00E07D6A"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26FE71F6"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Bireylerin aktif çalışma yaşamları sırasında güvenli bir tasarruf yapmalarını sağlamak ve bu tasarrufları yatırıma yönlendirmek suretiyle emeklilik dönemlerinde mevcut kamu sosyal güvenlik sisteminden sağlanan gelire ilave olarak ikinci bir gelir elde etmelerini sağlamak amacıyla düzenlenen 4632 sayılı Kanunun 15 inci maddesinde, “Fon, şirket tarafından emeklilik sözleşmesi çerçevesinde alınan ve katılımcılar adına bireysel emeklilik hesaplarında izlenen katkıların, riskin dağıtılması ve inançlı mülkiyet esaslarına göre işletilmesi amacıyla oluşturulan malvarlığıdır. Fonun tüzel kişiliği yoktur. Fon, bu Kanunda yer alan amaçlar dışında kullanılamaz...” hükmüne ve aynı Kanunun 2 nci maddesinde ise Kanunda geçen deyimlerin tanımlarına yer verilmiştir.</w:t>
      </w:r>
    </w:p>
    <w:p w14:paraId="0A66B4D9"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2134B171"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Anılan Kanunun 17 nci maddesinde; “Fonun malvarlığı, şirketin bu Kanundan, 28.7.1981 tarihli ve 2499 sayılı Sermaye Piyasası Kanunundan, emeklilik sözleşmesinden, fon içtüzüğünden ve ilgili mevzuattan doğan yükümlülüklerini yerine getirmesi ve sorumluluğunu karşılaması dışında hiçbir amaçla kullanılamaz. Fon malvarlığı rehnedilemez, teminat gösterilemez, üçüncü şahıslar tarafından haczettirilemez ve iflas masasına dahil edilemez.” hükmü,</w:t>
      </w:r>
    </w:p>
    <w:p w14:paraId="7D87EFE6"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630B3F11"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6 ncı maddesinde ise “Katılımcı, sisteme giriş tarihinden itibaren en az on yıl sistemde bulunmak koşulu ile 56 yaşını tamamladıktan sonra emekli olmaya hak kazanır. Emekliliğe hak kazanan katılımcı, bireysel emeklilik hesabındaki birikimlerinin bir kısmının veya tamamının defaten ödenmesini ya da yapacağı yıllık gelir sigortası sözleşmesi çerçevesinde kendisine maaş bağlanmasını talep edebilir. Şirket, katılımcının kısmen veya tamamen ödeme talebini, katılımcının emeklilik sözleşmesi gereği hak sahibi olduğu tarihten itibaren yedi iş günü içerisinde yerine getirmekle yükümlüdür. Katılımcının bu madde kapsamında birikimlerin ödenmesini talep etmesi veya başka bir şirket veya hayat sigorta şirketi ile yıllık gelir sigortası sözleşmesi yapması halinde, hesabındaki birikimler herhangi bir kesinti yapılmadan yazılı bildirimden itibaren en geç yedi iş günü içerisinde kendisine ödenir veya ilgili şirkete aktarılır.</w:t>
      </w:r>
    </w:p>
    <w:p w14:paraId="417F5A66"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4DBBD21F"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Emeklilik sözleşmesi içerisinde, katılımcının vefat etmesi halinde lehdarı, sürekli iş göremezlik durumunun ortaya çıkması halinde ise katılımcı, bireysel emeklilik hesabındaki birikimlerin kendisine ödenmesini talep edebilir. Katılımcının emekliliğe hak kazanmadan sistemden ayrılma talebinde bulunması halinde ise, bireysel emeklilik hesabındaki birikimler emeklilik sözleşmesi hükümleri çerçevesinde kendisine ödenir.</w:t>
      </w:r>
    </w:p>
    <w:p w14:paraId="3978CBA6"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6A2977B8"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53E2B492"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Şirket, bu maddede öngörülen aktarma ve ödeme yükümlülüklerini yedi iş günü içerisinde yerine getirmezse, yedinci iş gününün sonunda ihtara gerek kalmaksızın kendiliğinden mütemerrit hale gelir. Bu halde uygulanacak aylık temerrüt faizi, katılımcının dahil olduğu fonun son aylık getirisinin iki katından aşağı olamaz.</w:t>
      </w:r>
    </w:p>
    <w:p w14:paraId="3B362001"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26768D79"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Emeklilik sözleşmesi veya yıllık gelir sigortası sözleşmesi hükümlerine göre, hak sahiplerine ödenmesi gereken tutar, ödemeyi gerektiren tarihten itibaren on yıl içinde hak sahipleri tarafından aranmamış ise, onuncu yılı takip eden yılbaşından itibaren altı ay içerisinde hak sahiplerinin adı, soyadı ve hak kazandıkları para miktarını gösterir şekilde tanzim edilecek bir cetvel ile Müsteşarlık emrine Türkiye Cumhuriyet Merkez Bankasına aktarılır. Türkiye Cumhuriyet Merkez Bankasına yatırılan bu paralar iki yıl içinde sahipleri tarafından aranmadığı takdirde Hazineye gelir kaydedilir.” hükmü bulunmaktadır.</w:t>
      </w:r>
    </w:p>
    <w:p w14:paraId="2D1E1CE5"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77475108"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Öte yandan 3986 sayılı Kanunun 16 ncı maddesiyle değişik 6183 sayılı Amme Alacaklarının Tahsili Usulü Hakkında Kanunun 70 inci maddesinin 1 inci bendi ile, 233 sayılı Kamu İktisadi Teşebbüsleri Hakkında Kanun Hükmünde Kararname hükümlerine tabi iktisadi devlet teşekkülleri, kamu iktisadi kuruluşları, bunların müesseseleri, bağlı ortaklıkları, iştirakleri ve mahalli idarelerin malları hariç olmak üzere Devlet malları ile özel kanunlarında haczi caiz olmadığı gösterilen malların haczedilemeyeceği hükmü getirilmiştir.</w:t>
      </w:r>
    </w:p>
    <w:p w14:paraId="05FCA9EE"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490FB30D"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4632 sayılı Kanun uyarınca katılımcıların sisteme yapacakları katkı payı ödemeleri, emeklilik yatırım fonlarında değerlendirilerek, bireysel emeklilik hesaplarında saklanmakta, bu şekilde emeklilik yatırım fonlarının büyümesiyle katılımcıya geleceğini garanti altına alma güvencesi verilmektedir.</w:t>
      </w:r>
    </w:p>
    <w:p w14:paraId="7A54DE46"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24E01A7E"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Anılan Kanunun 2 nci maddesinde “yatırım fonu” ve “bireysel emeklilik” hesabı tanımları farklı yapılmış ise de yatırım fon hesapları emeklilik sözleşmesi gereğince ayrılan katkı payları ile oluşturulduğundan ve Kanunun 15 inci maddesi uyarınca fon, katkıların işletilmesi amacıyla oluşturulan malvarlığı olduğundan, katılımcılar tarafından ödenen katkıların ve dolayısıyla bu katkıların izlendiği bireysel emeklilik hesaplarının fonu/fon malvarlığını oluşturduğunda kuşku bulunmamaktadır.</w:t>
      </w:r>
    </w:p>
    <w:p w14:paraId="44651F60"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76718A47"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Söz konusu Kanunun 17 nci maddesinde Fonun malvarlığının haczedilemeyeceği hüküm altına alındığından ve bireysel emeklilik hesaplarının fonun malvarlığı içerisinde yer aldığı hususu açık bulunduğundan bireysel emeklilik hesaplarının haczedilememesi icap etmektedir.</w:t>
      </w:r>
    </w:p>
    <w:p w14:paraId="7CD2AEEA"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398D4137"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Bununla birlikte, 4632 sayılı Kanunun 6 ncı maddesinde belirtildiği üzere, katılımcıların emeklilik sisteminden ayrılması veya emekli olmaya hak kazanması halinde söz konusu alacağı talep hakları doğacaktır.</w:t>
      </w:r>
    </w:p>
    <w:p w14:paraId="7B0BBEB5"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0CA01CE5"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Bu şekilde katılımcıların bireysel emeklilik hesabındaki birikimlerinin bir kısmının veya tamamının defaten ödenmesini talep ederek emeklilik sisteminden ayrılması durumunda alacağının amme alacağına yetecek kadar kısmının, emekli olmaya hak kazanması durumunda ise emekli aylığının 6183 sayılı Kanunun 71 inci maddesi hükmü de dikkate alınmak suretiyle anılan Kanunun 79 uncu maddesi uyarınca tebliğ edilecek haciz bildirisi ile haczi gerekmektedir.</w:t>
      </w:r>
    </w:p>
    <w:p w14:paraId="75812979" w14:textId="77777777" w:rsidR="00C5478D" w:rsidRPr="00C82C1C" w:rsidRDefault="00C5478D" w:rsidP="00C5478D">
      <w:pPr>
        <w:widowControl w:val="0"/>
        <w:spacing w:line="276" w:lineRule="auto"/>
        <w:ind w:left="170" w:right="170"/>
        <w:rPr>
          <w:rFonts w:ascii="Arial" w:eastAsiaTheme="minorHAnsi" w:hAnsi="Arial" w:cs="Arial"/>
          <w:bCs/>
          <w:noProof w:val="0"/>
          <w:color w:val="000000"/>
          <w:position w:val="0"/>
          <w:sz w:val="20"/>
          <w:szCs w:val="20"/>
        </w:rPr>
      </w:pPr>
    </w:p>
    <w:p w14:paraId="7720EE35" w14:textId="77777777" w:rsidR="00C5478D" w:rsidRDefault="00C5478D" w:rsidP="00C5478D">
      <w:pPr>
        <w:widowControl w:val="0"/>
        <w:spacing w:line="276" w:lineRule="auto"/>
        <w:ind w:left="170" w:right="170"/>
        <w:rPr>
          <w:rFonts w:ascii="Arial" w:eastAsiaTheme="minorHAnsi" w:hAnsi="Arial" w:cs="Arial"/>
          <w:bCs/>
          <w:noProof w:val="0"/>
          <w:color w:val="000000"/>
          <w:position w:val="0"/>
          <w:sz w:val="20"/>
          <w:szCs w:val="20"/>
        </w:rPr>
      </w:pPr>
      <w:r w:rsidRPr="00C82C1C">
        <w:rPr>
          <w:rFonts w:ascii="Arial" w:eastAsiaTheme="minorHAnsi" w:hAnsi="Arial" w:cs="Arial"/>
          <w:bCs/>
          <w:noProof w:val="0"/>
          <w:color w:val="000000"/>
          <w:position w:val="0"/>
          <w:sz w:val="20"/>
          <w:szCs w:val="20"/>
        </w:rPr>
        <w:t>Bilgi edinilmesini ve gereğinin buna ifasını rica ederim.</w:t>
      </w:r>
    </w:p>
    <w:p w14:paraId="455F4CC8" w14:textId="77777777" w:rsidR="00C5478D" w:rsidRPr="00C82C1C" w:rsidRDefault="00C5478D" w:rsidP="00C5478D">
      <w:pPr>
        <w:widowControl w:val="0"/>
        <w:spacing w:line="276" w:lineRule="auto"/>
        <w:ind w:left="708" w:right="170"/>
        <w:rPr>
          <w:rFonts w:ascii="Arial" w:eastAsiaTheme="minorHAnsi" w:hAnsi="Arial" w:cs="Arial"/>
          <w:bCs/>
          <w:noProof w:val="0"/>
          <w:color w:val="000000"/>
          <w:position w:val="0"/>
          <w:sz w:val="20"/>
          <w:szCs w:val="20"/>
        </w:rPr>
      </w:pPr>
    </w:p>
    <w:p w14:paraId="7411734A" w14:textId="77777777" w:rsidR="00C5478D" w:rsidRPr="00C26991" w:rsidRDefault="00C5478D" w:rsidP="00C5478D">
      <w:pPr>
        <w:pStyle w:val="HTMLncedenBiimlendirilmi"/>
        <w:rPr>
          <w:rFonts w:ascii="Arial" w:hAnsi="Arial" w:cs="Arial"/>
          <w:bCs/>
          <w:noProof w:val="0"/>
          <w:color w:val="000000"/>
          <w:kern w:val="0"/>
          <w:position w:val="0"/>
        </w:rPr>
      </w:pPr>
      <w:r w:rsidRPr="00C26991">
        <w:rPr>
          <w:rFonts w:ascii="Arial" w:hAnsi="Arial" w:cs="Arial"/>
          <w:bCs/>
          <w:noProof w:val="0"/>
          <w:color w:val="000000"/>
          <w:kern w:val="0"/>
          <w:position w:val="0"/>
        </w:rPr>
        <w:t>Osman ARIOĞLU</w:t>
      </w:r>
    </w:p>
    <w:p w14:paraId="5C80C788" w14:textId="77777777" w:rsidR="00C5478D" w:rsidRDefault="00C5478D" w:rsidP="00C5478D">
      <w:pPr>
        <w:pStyle w:val="HTMLncedenBiimlendirilmi"/>
        <w:rPr>
          <w:rFonts w:ascii="Arial" w:hAnsi="Arial" w:cs="Arial"/>
          <w:bCs/>
          <w:noProof w:val="0"/>
          <w:color w:val="000000"/>
          <w:kern w:val="0"/>
          <w:position w:val="0"/>
        </w:rPr>
      </w:pPr>
      <w:r w:rsidRPr="00C26991">
        <w:rPr>
          <w:rFonts w:ascii="Arial" w:hAnsi="Arial" w:cs="Arial"/>
          <w:bCs/>
          <w:noProof w:val="0"/>
          <w:color w:val="000000"/>
          <w:kern w:val="0"/>
          <w:position w:val="0"/>
        </w:rPr>
        <w:t>Gelir İdaresi Başkanı</w:t>
      </w:r>
    </w:p>
    <w:p w14:paraId="53738ABD" w14:textId="77777777" w:rsidR="00C5478D" w:rsidRDefault="00C5478D" w:rsidP="00C5478D">
      <w:pPr>
        <w:pStyle w:val="HTMLncedenBiimlendirilmi"/>
        <w:rPr>
          <w:rFonts w:ascii="Arial" w:hAnsi="Arial" w:cs="Arial"/>
          <w:bCs/>
          <w:noProof w:val="0"/>
          <w:color w:val="000000"/>
          <w:kern w:val="0"/>
          <w:position w:val="0"/>
        </w:rPr>
      </w:pPr>
    </w:p>
    <w:tbl>
      <w:tblPr>
        <w:tblStyle w:val="TabloKlavuzu"/>
        <w:tblW w:w="0" w:type="auto"/>
        <w:tblLook w:val="04A0" w:firstRow="1" w:lastRow="0" w:firstColumn="1" w:lastColumn="0" w:noHBand="0" w:noVBand="1"/>
      </w:tblPr>
      <w:tblGrid>
        <w:gridCol w:w="3018"/>
        <w:gridCol w:w="3022"/>
        <w:gridCol w:w="3022"/>
      </w:tblGrid>
      <w:tr w:rsidR="00C5478D" w:rsidRPr="001D7EEF" w14:paraId="622748C7" w14:textId="77777777" w:rsidTr="00295F69">
        <w:tc>
          <w:tcPr>
            <w:tcW w:w="9224" w:type="dxa"/>
            <w:gridSpan w:val="3"/>
          </w:tcPr>
          <w:p w14:paraId="129E68CD" w14:textId="77777777" w:rsidR="00C5478D" w:rsidRPr="004C351C" w:rsidRDefault="00C5478D" w:rsidP="00295F69">
            <w:pPr>
              <w:jc w:val="center"/>
              <w:rPr>
                <w:rFonts w:ascii="Arial" w:hAnsi="Arial" w:cs="Arial"/>
                <w:b/>
                <w:sz w:val="20"/>
              </w:rPr>
            </w:pPr>
            <w:r w:rsidRPr="004C351C">
              <w:rPr>
                <w:rFonts w:ascii="Arial" w:hAnsi="Arial" w:cs="Arial"/>
                <w:b/>
                <w:sz w:val="20"/>
              </w:rPr>
              <w:t>Genelge’nin</w:t>
            </w:r>
          </w:p>
        </w:tc>
      </w:tr>
      <w:tr w:rsidR="00C5478D" w:rsidRPr="001D7EEF" w14:paraId="7AC65DA9" w14:textId="77777777" w:rsidTr="00295F69">
        <w:tc>
          <w:tcPr>
            <w:tcW w:w="3074" w:type="dxa"/>
          </w:tcPr>
          <w:p w14:paraId="181FDF00" w14:textId="77777777" w:rsidR="00C5478D" w:rsidRPr="004C351C" w:rsidRDefault="00C5478D" w:rsidP="00295F69">
            <w:pPr>
              <w:jc w:val="center"/>
              <w:rPr>
                <w:rFonts w:ascii="Arial" w:hAnsi="Arial" w:cs="Arial"/>
                <w:b/>
                <w:sz w:val="20"/>
              </w:rPr>
            </w:pPr>
            <w:r w:rsidRPr="004C351C">
              <w:rPr>
                <w:rFonts w:ascii="Arial" w:hAnsi="Arial" w:cs="Arial"/>
                <w:b/>
                <w:sz w:val="20"/>
              </w:rPr>
              <w:lastRenderedPageBreak/>
              <w:t>Numarası</w:t>
            </w:r>
          </w:p>
        </w:tc>
        <w:tc>
          <w:tcPr>
            <w:tcW w:w="3075" w:type="dxa"/>
          </w:tcPr>
          <w:p w14:paraId="19BABB46" w14:textId="77777777" w:rsidR="00C5478D" w:rsidRPr="004C351C" w:rsidRDefault="00C5478D" w:rsidP="00295F69">
            <w:pPr>
              <w:jc w:val="center"/>
              <w:rPr>
                <w:rFonts w:ascii="Arial" w:hAnsi="Arial" w:cs="Arial"/>
                <w:b/>
                <w:sz w:val="20"/>
              </w:rPr>
            </w:pPr>
            <w:r w:rsidRPr="004C351C">
              <w:rPr>
                <w:rFonts w:ascii="Arial" w:hAnsi="Arial" w:cs="Arial"/>
                <w:b/>
                <w:sz w:val="20"/>
              </w:rPr>
              <w:t>Kabul Tarihi</w:t>
            </w:r>
          </w:p>
        </w:tc>
        <w:tc>
          <w:tcPr>
            <w:tcW w:w="3075" w:type="dxa"/>
          </w:tcPr>
          <w:p w14:paraId="2BAF2FB8" w14:textId="77777777" w:rsidR="00C5478D" w:rsidRPr="004C351C" w:rsidRDefault="00C5478D" w:rsidP="00295F69">
            <w:pPr>
              <w:jc w:val="center"/>
              <w:rPr>
                <w:rFonts w:ascii="Arial" w:hAnsi="Arial" w:cs="Arial"/>
                <w:b/>
                <w:sz w:val="20"/>
              </w:rPr>
            </w:pPr>
            <w:r w:rsidRPr="004C351C">
              <w:rPr>
                <w:rFonts w:ascii="Arial" w:hAnsi="Arial" w:cs="Arial"/>
                <w:b/>
                <w:sz w:val="20"/>
              </w:rPr>
              <w:t>Yürürlüğe Giriş Tarihi</w:t>
            </w:r>
          </w:p>
        </w:tc>
      </w:tr>
      <w:tr w:rsidR="00C5478D" w14:paraId="2DE4040C" w14:textId="77777777" w:rsidTr="00295F69">
        <w:tc>
          <w:tcPr>
            <w:tcW w:w="3074" w:type="dxa"/>
          </w:tcPr>
          <w:p w14:paraId="270428F6" w14:textId="77777777" w:rsidR="00C5478D" w:rsidRPr="004C351C" w:rsidRDefault="00C5478D" w:rsidP="00295F69">
            <w:pPr>
              <w:jc w:val="center"/>
              <w:rPr>
                <w:rFonts w:ascii="Arial" w:hAnsi="Arial" w:cs="Arial"/>
                <w:sz w:val="20"/>
              </w:rPr>
            </w:pPr>
            <w:r w:rsidRPr="004C351C">
              <w:rPr>
                <w:rFonts w:ascii="Arial" w:hAnsi="Arial" w:cs="Arial"/>
                <w:sz w:val="20"/>
              </w:rPr>
              <w:t>20</w:t>
            </w:r>
            <w:r>
              <w:rPr>
                <w:rFonts w:ascii="Arial" w:hAnsi="Arial" w:cs="Arial"/>
                <w:sz w:val="20"/>
              </w:rPr>
              <w:t>07/2</w:t>
            </w:r>
          </w:p>
        </w:tc>
        <w:tc>
          <w:tcPr>
            <w:tcW w:w="3075" w:type="dxa"/>
          </w:tcPr>
          <w:p w14:paraId="65A435EA" w14:textId="77777777" w:rsidR="00C5478D" w:rsidRPr="004C351C" w:rsidRDefault="00C5478D" w:rsidP="00295F69">
            <w:pPr>
              <w:jc w:val="center"/>
              <w:rPr>
                <w:rFonts w:ascii="Arial" w:hAnsi="Arial" w:cs="Arial"/>
                <w:sz w:val="20"/>
              </w:rPr>
            </w:pPr>
            <w:r>
              <w:rPr>
                <w:rFonts w:ascii="Arial" w:hAnsi="Arial" w:cs="Arial"/>
                <w:sz w:val="20"/>
              </w:rPr>
              <w:t>24.03.2007</w:t>
            </w:r>
          </w:p>
        </w:tc>
        <w:tc>
          <w:tcPr>
            <w:tcW w:w="3075" w:type="dxa"/>
          </w:tcPr>
          <w:p w14:paraId="67B535F6" w14:textId="77777777" w:rsidR="00C5478D" w:rsidRPr="004C351C" w:rsidRDefault="00C5478D" w:rsidP="00295F69">
            <w:pPr>
              <w:jc w:val="center"/>
              <w:rPr>
                <w:rFonts w:ascii="Arial" w:hAnsi="Arial" w:cs="Arial"/>
                <w:sz w:val="20"/>
              </w:rPr>
            </w:pPr>
            <w:r>
              <w:rPr>
                <w:rFonts w:ascii="Arial" w:hAnsi="Arial" w:cs="Arial"/>
                <w:sz w:val="20"/>
              </w:rPr>
              <w:t>24.03.2007</w:t>
            </w:r>
          </w:p>
        </w:tc>
      </w:tr>
    </w:tbl>
    <w:p w14:paraId="1F7C067F" w14:textId="77777777" w:rsidR="00C5478D" w:rsidRDefault="00C5478D" w:rsidP="00C5478D">
      <w:pPr>
        <w:pStyle w:val="HTMLncedenBiimlendirilmi"/>
        <w:rPr>
          <w:rFonts w:ascii="Arial" w:hAnsi="Arial" w:cs="Arial"/>
          <w:bCs/>
          <w:noProof w:val="0"/>
          <w:color w:val="000000"/>
          <w:kern w:val="0"/>
          <w:position w:val="0"/>
        </w:rPr>
      </w:pPr>
      <w:r w:rsidRPr="00C26991">
        <w:rPr>
          <w:rFonts w:ascii="Arial" w:hAnsi="Arial" w:cs="Arial"/>
          <w:bCs/>
          <w:noProof w:val="0"/>
          <w:color w:val="000000"/>
          <w:kern w:val="0"/>
          <w:position w:val="0"/>
        </w:rPr>
        <w:t xml:space="preserve"> </w:t>
      </w:r>
    </w:p>
    <w:p w14:paraId="4173E93C"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B551" w14:textId="77777777" w:rsidR="00B4569A" w:rsidRDefault="00B4569A" w:rsidP="00C5478D">
      <w:r>
        <w:separator/>
      </w:r>
    </w:p>
  </w:endnote>
  <w:endnote w:type="continuationSeparator" w:id="0">
    <w:p w14:paraId="008C36F0" w14:textId="77777777" w:rsidR="00B4569A" w:rsidRDefault="00B4569A" w:rsidP="00C5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220D" w14:textId="29563E0A" w:rsidR="00C5478D" w:rsidRPr="00C5478D" w:rsidRDefault="00C5478D" w:rsidP="00C5478D">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6E3A" w14:textId="2A0DB594" w:rsidR="00C5478D" w:rsidRPr="00C5478D" w:rsidRDefault="00C5478D" w:rsidP="00C5478D">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612B" w14:textId="559CB2E3" w:rsidR="00C5478D" w:rsidRPr="00C5478D" w:rsidRDefault="00C5478D" w:rsidP="00C5478D">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FFFE" w14:textId="77777777" w:rsidR="00B4569A" w:rsidRDefault="00B4569A" w:rsidP="00C5478D">
      <w:r>
        <w:separator/>
      </w:r>
    </w:p>
  </w:footnote>
  <w:footnote w:type="continuationSeparator" w:id="0">
    <w:p w14:paraId="396801BB" w14:textId="77777777" w:rsidR="00B4569A" w:rsidRDefault="00B4569A" w:rsidP="00C5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20B2" w14:textId="77777777" w:rsidR="00C5478D" w:rsidRDefault="00C547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0A43" w14:textId="77777777" w:rsidR="00C5478D" w:rsidRDefault="00C547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13CB" w14:textId="77777777" w:rsidR="00C5478D" w:rsidRDefault="00C5478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02"/>
    <w:rsid w:val="00A174FE"/>
    <w:rsid w:val="00B4569A"/>
    <w:rsid w:val="00C5478D"/>
    <w:rsid w:val="00C70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87783E-0388-4FAA-8622-46B33F96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78D"/>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C5478D"/>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5478D"/>
    <w:rPr>
      <w:rFonts w:ascii="Arial" w:eastAsiaTheme="majorEastAsia" w:hAnsi="Arial" w:cs="Arial"/>
      <w:b/>
      <w:bCs/>
      <w:color w:val="000000"/>
      <w:kern w:val="16"/>
      <w:sz w:val="24"/>
      <w:szCs w:val="24"/>
    </w:rPr>
  </w:style>
  <w:style w:type="table" w:styleId="TabloKlavuzu">
    <w:name w:val="Table Grid"/>
    <w:basedOn w:val="NormalTablo"/>
    <w:uiPriority w:val="59"/>
    <w:rsid w:val="00C5478D"/>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C54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C5478D"/>
    <w:rPr>
      <w:rFonts w:ascii="Courier New" w:eastAsia="Times New Roman" w:hAnsi="Courier New" w:cs="Courier New"/>
      <w:noProof/>
      <w:kern w:val="16"/>
      <w:position w:val="24"/>
      <w:sz w:val="20"/>
      <w:szCs w:val="20"/>
      <w:lang w:eastAsia="tr-TR"/>
    </w:rPr>
  </w:style>
  <w:style w:type="paragraph" w:styleId="stBilgi">
    <w:name w:val="header"/>
    <w:basedOn w:val="Normal"/>
    <w:link w:val="stBilgiChar"/>
    <w:uiPriority w:val="99"/>
    <w:unhideWhenUsed/>
    <w:rsid w:val="00C5478D"/>
    <w:pPr>
      <w:tabs>
        <w:tab w:val="center" w:pos="4536"/>
        <w:tab w:val="right" w:pos="9072"/>
      </w:tabs>
    </w:pPr>
  </w:style>
  <w:style w:type="character" w:customStyle="1" w:styleId="stBilgiChar">
    <w:name w:val="Üst Bilgi Char"/>
    <w:basedOn w:val="VarsaylanParagrafYazTipi"/>
    <w:link w:val="stBilgi"/>
    <w:uiPriority w:val="99"/>
    <w:rsid w:val="00C5478D"/>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C5478D"/>
    <w:pPr>
      <w:tabs>
        <w:tab w:val="center" w:pos="4536"/>
        <w:tab w:val="right" w:pos="9072"/>
      </w:tabs>
    </w:pPr>
  </w:style>
  <w:style w:type="character" w:customStyle="1" w:styleId="AltBilgiChar">
    <w:name w:val="Alt Bilgi Char"/>
    <w:basedOn w:val="VarsaylanParagrafYazTipi"/>
    <w:link w:val="AltBilgi"/>
    <w:uiPriority w:val="99"/>
    <w:rsid w:val="00C5478D"/>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C87631A-3FC0-4307-B414-39612EC1681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5700</Characters>
  <Application>Microsoft Office Word</Application>
  <DocSecurity>0</DocSecurity>
  <Lines>47</Lines>
  <Paragraphs>13</Paragraphs>
  <ScaleCrop>false</ScaleCrop>
  <Company>Emeklilik Gozetim Merkezi</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2023-12-21T17:26:00Z</dcterms:created>
  <dcterms:modified xsi:type="dcterms:W3CDTF">2023-12-21T17:26:00Z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e88889cb-594f-4708-99ab-1590c4ca632e</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