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7E3AC" w14:textId="77777777" w:rsidR="003454DC" w:rsidRPr="003D4460" w:rsidRDefault="003454DC" w:rsidP="003454DC">
      <w:pPr>
        <w:spacing w:line="240" w:lineRule="exact"/>
        <w:ind w:firstLine="170"/>
        <w:rPr>
          <w:rFonts w:ascii="Arial" w:eastAsiaTheme="minorHAnsi" w:hAnsi="Arial" w:cs="Arial"/>
          <w:b/>
          <w:noProof w:val="0"/>
          <w:color w:val="000000"/>
          <w:position w:val="0"/>
          <w:sz w:val="20"/>
          <w:szCs w:val="20"/>
          <w:u w:val="single"/>
        </w:rPr>
      </w:pPr>
      <w:r w:rsidRPr="003D4460">
        <w:rPr>
          <w:rFonts w:ascii="Arial" w:eastAsiaTheme="minorHAnsi" w:hAnsi="Arial" w:cs="Arial"/>
          <w:b/>
          <w:noProof w:val="0"/>
          <w:color w:val="000000"/>
          <w:position w:val="0"/>
          <w:sz w:val="20"/>
          <w:szCs w:val="20"/>
          <w:u w:val="single"/>
        </w:rPr>
        <w:t>Resmi Gazete</w:t>
      </w:r>
      <w:r w:rsidRPr="003D4460">
        <w:rPr>
          <w:rFonts w:ascii="Arial" w:eastAsiaTheme="minorHAnsi" w:hAnsi="Arial" w:cs="Arial"/>
          <w:b/>
          <w:noProof w:val="0"/>
          <w:color w:val="000000"/>
          <w:position w:val="0"/>
          <w:sz w:val="20"/>
          <w:szCs w:val="20"/>
          <w:u w:val="single"/>
        </w:rPr>
        <w:tab/>
        <w:t>:</w:t>
      </w:r>
      <w:r w:rsidRPr="003D4460">
        <w:rPr>
          <w:rFonts w:ascii="Arial" w:eastAsiaTheme="minorHAnsi" w:hAnsi="Arial" w:cs="Arial"/>
          <w:noProof w:val="0"/>
          <w:color w:val="000000"/>
          <w:position w:val="0"/>
          <w:sz w:val="20"/>
          <w:szCs w:val="20"/>
        </w:rPr>
        <w:t xml:space="preserve"> 11.09.2013 </w:t>
      </w:r>
    </w:p>
    <w:p w14:paraId="7F05FB26" w14:textId="77777777" w:rsidR="003454DC" w:rsidRPr="003D4460" w:rsidRDefault="003454DC" w:rsidP="003454DC">
      <w:pPr>
        <w:spacing w:line="240" w:lineRule="exact"/>
        <w:ind w:firstLine="170"/>
        <w:rPr>
          <w:rFonts w:ascii="Arial" w:eastAsiaTheme="minorHAnsi" w:hAnsi="Arial" w:cs="Arial"/>
          <w:b/>
          <w:noProof w:val="0"/>
          <w:color w:val="000000"/>
          <w:position w:val="0"/>
          <w:sz w:val="20"/>
          <w:szCs w:val="20"/>
          <w:u w:val="single"/>
        </w:rPr>
      </w:pPr>
      <w:r w:rsidRPr="003D4460">
        <w:rPr>
          <w:rFonts w:ascii="Arial" w:eastAsiaTheme="minorHAnsi" w:hAnsi="Arial" w:cs="Arial"/>
          <w:b/>
          <w:noProof w:val="0"/>
          <w:color w:val="000000"/>
          <w:position w:val="0"/>
          <w:sz w:val="20"/>
          <w:szCs w:val="20"/>
          <w:u w:val="single"/>
        </w:rPr>
        <w:t>Sayı</w:t>
      </w:r>
      <w:r w:rsidRPr="003D4460">
        <w:rPr>
          <w:rFonts w:ascii="Arial" w:eastAsiaTheme="minorHAnsi" w:hAnsi="Arial" w:cs="Arial"/>
          <w:b/>
          <w:noProof w:val="0"/>
          <w:color w:val="000000"/>
          <w:position w:val="0"/>
          <w:sz w:val="20"/>
          <w:szCs w:val="20"/>
          <w:u w:val="single"/>
        </w:rPr>
        <w:tab/>
      </w:r>
      <w:r w:rsidRPr="003D4460">
        <w:rPr>
          <w:rFonts w:ascii="Arial" w:eastAsiaTheme="minorHAnsi" w:hAnsi="Arial" w:cs="Arial"/>
          <w:b/>
          <w:noProof w:val="0"/>
          <w:color w:val="000000"/>
          <w:position w:val="0"/>
          <w:sz w:val="20"/>
          <w:szCs w:val="20"/>
          <w:u w:val="single"/>
        </w:rPr>
        <w:tab/>
      </w:r>
      <w:r w:rsidRPr="003D4460">
        <w:rPr>
          <w:rFonts w:ascii="Arial" w:eastAsiaTheme="minorHAnsi" w:hAnsi="Arial" w:cs="Arial"/>
          <w:b/>
          <w:noProof w:val="0"/>
          <w:color w:val="000000"/>
          <w:position w:val="0"/>
          <w:sz w:val="20"/>
          <w:szCs w:val="20"/>
          <w:u w:val="single"/>
        </w:rPr>
        <w:tab/>
        <w:t>:</w:t>
      </w:r>
      <w:r w:rsidRPr="003D4460">
        <w:rPr>
          <w:rFonts w:ascii="Arial" w:eastAsiaTheme="minorHAnsi" w:hAnsi="Arial" w:cs="Arial"/>
          <w:noProof w:val="0"/>
          <w:color w:val="000000"/>
          <w:position w:val="0"/>
          <w:sz w:val="20"/>
          <w:szCs w:val="20"/>
        </w:rPr>
        <w:t xml:space="preserve"> 28762</w:t>
      </w:r>
    </w:p>
    <w:p w14:paraId="2380CD74" w14:textId="77777777" w:rsidR="003454DC" w:rsidRPr="003D4460" w:rsidRDefault="003454DC" w:rsidP="003454DC">
      <w:pPr>
        <w:spacing w:line="240" w:lineRule="exact"/>
        <w:ind w:firstLine="170"/>
        <w:rPr>
          <w:rFonts w:ascii="Arial" w:eastAsiaTheme="minorHAnsi" w:hAnsi="Arial" w:cs="Arial"/>
          <w:b/>
          <w:noProof w:val="0"/>
          <w:color w:val="000000"/>
          <w:position w:val="0"/>
          <w:sz w:val="20"/>
          <w:szCs w:val="20"/>
          <w:u w:val="single"/>
        </w:rPr>
      </w:pPr>
      <w:r w:rsidRPr="003D4460">
        <w:rPr>
          <w:rFonts w:ascii="Arial" w:eastAsiaTheme="minorHAnsi" w:hAnsi="Arial" w:cs="Arial"/>
          <w:b/>
          <w:noProof w:val="0"/>
          <w:color w:val="000000"/>
          <w:position w:val="0"/>
          <w:sz w:val="20"/>
          <w:szCs w:val="20"/>
          <w:u w:val="single"/>
        </w:rPr>
        <w:t>Maliye Bakanlığından:</w:t>
      </w:r>
    </w:p>
    <w:p w14:paraId="1F569D4E" w14:textId="77777777" w:rsidR="003454DC" w:rsidRPr="003D4460" w:rsidRDefault="003454DC" w:rsidP="003454DC">
      <w:pPr>
        <w:rPr>
          <w:rFonts w:ascii="Arial" w:eastAsiaTheme="majorEastAsia" w:hAnsi="Arial" w:cs="Arial"/>
          <w:sz w:val="20"/>
          <w:szCs w:val="20"/>
        </w:rPr>
      </w:pPr>
    </w:p>
    <w:p w14:paraId="58DD7BB9" w14:textId="77777777" w:rsidR="003454DC" w:rsidRDefault="003454DC" w:rsidP="003454DC">
      <w:pPr>
        <w:pStyle w:val="Balk2"/>
      </w:pPr>
      <w:bookmarkStart w:id="0" w:name="_Toc10203603"/>
      <w:bookmarkStart w:id="1" w:name="_Toc91679144"/>
      <w:bookmarkStart w:id="2" w:name="_Toc105418776"/>
      <w:r w:rsidRPr="000874F7">
        <w:t>TAHSİLAT GENEL TEBLİĞİ (SERİ: A SIRA NO: 1)’NDE DEĞİŞİKLİK</w:t>
      </w:r>
      <w:r>
        <w:t xml:space="preserve"> </w:t>
      </w:r>
      <w:r w:rsidRPr="000874F7">
        <w:t xml:space="preserve">YAPILMASINA DAİR TEBLİĞ (SERİ: A SIRA NO: 5) </w:t>
      </w:r>
      <w:bookmarkEnd w:id="0"/>
      <w:bookmarkEnd w:id="1"/>
      <w:bookmarkEnd w:id="2"/>
      <w:r>
        <w:t>(İlgili Maddeler)</w:t>
      </w:r>
    </w:p>
    <w:p w14:paraId="43E03F80" w14:textId="77777777" w:rsidR="003454DC" w:rsidRPr="003D4460" w:rsidRDefault="003454DC" w:rsidP="003454DC">
      <w:pPr>
        <w:widowControl w:val="0"/>
        <w:spacing w:line="276" w:lineRule="auto"/>
        <w:ind w:left="170" w:right="170"/>
        <w:rPr>
          <w:rFonts w:ascii="Arial" w:eastAsiaTheme="minorHAnsi" w:hAnsi="Arial" w:cs="Arial"/>
          <w:b/>
          <w:bCs/>
          <w:noProof w:val="0"/>
          <w:color w:val="000000"/>
          <w:position w:val="0"/>
          <w:sz w:val="20"/>
          <w:szCs w:val="20"/>
        </w:rPr>
      </w:pPr>
    </w:p>
    <w:p w14:paraId="0CF0DC6F" w14:textId="77777777" w:rsidR="003454DC" w:rsidRPr="003D4460" w:rsidRDefault="003454DC" w:rsidP="003454DC">
      <w:pPr>
        <w:widowControl w:val="0"/>
        <w:spacing w:line="276" w:lineRule="auto"/>
        <w:ind w:left="170" w:right="170"/>
        <w:rPr>
          <w:rFonts w:ascii="Arial" w:eastAsiaTheme="minorHAnsi" w:hAnsi="Arial" w:cs="Arial"/>
          <w:b/>
          <w:bCs/>
          <w:noProof w:val="0"/>
          <w:color w:val="000000"/>
          <w:position w:val="0"/>
          <w:sz w:val="20"/>
          <w:szCs w:val="20"/>
        </w:rPr>
      </w:pPr>
      <w:r w:rsidRPr="003D4460">
        <w:rPr>
          <w:rFonts w:ascii="Arial" w:eastAsiaTheme="minorHAnsi" w:hAnsi="Arial" w:cs="Arial"/>
          <w:b/>
          <w:bCs/>
          <w:noProof w:val="0"/>
          <w:color w:val="000000"/>
          <w:position w:val="0"/>
          <w:sz w:val="20"/>
          <w:szCs w:val="20"/>
        </w:rPr>
        <w:t xml:space="preserve">15) </w:t>
      </w:r>
      <w:r w:rsidRPr="003D4460">
        <w:rPr>
          <w:rFonts w:ascii="Arial" w:eastAsiaTheme="minorHAnsi" w:hAnsi="Arial" w:cs="Arial"/>
          <w:bCs/>
          <w:noProof w:val="0"/>
          <w:color w:val="000000"/>
          <w:position w:val="0"/>
          <w:sz w:val="20"/>
          <w:szCs w:val="20"/>
        </w:rPr>
        <w:t>İkinci Kısım Birinci Bölümünün “X- Kısmen Haczedilebilen Gelirler” başlıklı alt bölümünün (2) numaralı bölümü aşağıdaki şekilde değiştirilmiştir.</w:t>
      </w:r>
    </w:p>
    <w:p w14:paraId="0F453404" w14:textId="77777777" w:rsidR="003454DC" w:rsidRPr="003D4460" w:rsidRDefault="003454DC" w:rsidP="003454DC">
      <w:pPr>
        <w:widowControl w:val="0"/>
        <w:spacing w:line="276" w:lineRule="auto"/>
        <w:ind w:left="170" w:right="170"/>
        <w:rPr>
          <w:rFonts w:ascii="Arial" w:eastAsiaTheme="minorHAnsi" w:hAnsi="Arial" w:cs="Arial"/>
          <w:bCs/>
          <w:noProof w:val="0"/>
          <w:color w:val="000000"/>
          <w:position w:val="0"/>
          <w:sz w:val="20"/>
          <w:szCs w:val="20"/>
        </w:rPr>
      </w:pPr>
      <w:r w:rsidRPr="003D4460">
        <w:rPr>
          <w:rFonts w:ascii="Arial" w:eastAsiaTheme="minorHAnsi" w:hAnsi="Arial" w:cs="Arial"/>
          <w:bCs/>
          <w:noProof w:val="0"/>
          <w:color w:val="000000"/>
          <w:position w:val="0"/>
          <w:sz w:val="20"/>
          <w:szCs w:val="20"/>
        </w:rPr>
        <w:t>“</w:t>
      </w:r>
      <w:r w:rsidRPr="003D4460">
        <w:rPr>
          <w:rFonts w:ascii="Arial" w:eastAsiaTheme="minorHAnsi" w:hAnsi="Arial" w:cs="Arial"/>
          <w:b/>
          <w:bCs/>
          <w:noProof w:val="0"/>
          <w:color w:val="000000"/>
          <w:position w:val="0"/>
          <w:sz w:val="20"/>
          <w:szCs w:val="20"/>
        </w:rPr>
        <w:t xml:space="preserve">2. </w:t>
      </w:r>
      <w:r w:rsidRPr="003D4460">
        <w:rPr>
          <w:rFonts w:ascii="Arial" w:eastAsiaTheme="minorHAnsi" w:hAnsi="Arial" w:cs="Arial"/>
          <w:bCs/>
          <w:noProof w:val="0"/>
          <w:color w:val="000000"/>
          <w:position w:val="0"/>
          <w:sz w:val="20"/>
          <w:szCs w:val="20"/>
        </w:rPr>
        <w:t>4632 sayılı Bireysel Emeklilik ve Yatırım Sistemi Kanununun28 5684 sayılı Kanunun 41 inci maddesiyle değişik 17 nci maddesinin ikinci fıkrasında, “Bireysel emeklilik hesabındaki fon paylarından, katılımcının sistemde bulunduğu ay sayısı ile asgarî ücret tutarının çarpımına karşılık gelen birikim tutarı ve bu Kanunun 6 ncı maddesi kapsamında bireysel emeklilik sisteminden emekli olanlara yapılan yıllık gelir sigortası ödemelerinin aylık ödemeye isabet eden miktarının nafaka borçları hariç olmak üzere asgari ücret tutarına kadar olan kısmı haczedilemez, rehnedilemez, iflas masasına dahil edilemez. Bu fıkradaki hükümlerin uygulanmasında rehin, haciz veya iflas tarihinde geçerli brüt asgari ücret tutarı esas alınır…” hükmü,</w:t>
      </w:r>
    </w:p>
    <w:p w14:paraId="6CE93EF0" w14:textId="77777777" w:rsidR="003454DC" w:rsidRPr="003D4460" w:rsidRDefault="003454DC" w:rsidP="003454DC">
      <w:pPr>
        <w:widowControl w:val="0"/>
        <w:spacing w:line="276" w:lineRule="auto"/>
        <w:ind w:left="170" w:right="170"/>
        <w:rPr>
          <w:rFonts w:ascii="Arial" w:eastAsiaTheme="minorHAnsi" w:hAnsi="Arial" w:cs="Arial"/>
          <w:bCs/>
          <w:noProof w:val="0"/>
          <w:color w:val="000000"/>
          <w:position w:val="0"/>
          <w:sz w:val="20"/>
          <w:szCs w:val="20"/>
        </w:rPr>
      </w:pPr>
      <w:r w:rsidRPr="003D4460">
        <w:rPr>
          <w:rFonts w:ascii="Arial" w:eastAsiaTheme="minorHAnsi" w:hAnsi="Arial" w:cs="Arial"/>
          <w:bCs/>
          <w:noProof w:val="0"/>
          <w:color w:val="000000"/>
          <w:position w:val="0"/>
          <w:sz w:val="20"/>
          <w:szCs w:val="20"/>
        </w:rPr>
        <w:t>Aynı Kanunun “Devlet katkısı” başlıklı Ek 1 inci maddesinin üçüncü fıkrasında “Bireysel emeklilik sisteminden emeklilik hakkı kazananlar ile bu sistemden vefat veya malûliyet nedeniyle ayrılanlar devlet katkısı hesabındaki hesabın tamamına hak kazanır. Devlet katkısı hesabındaki tutarlardan hak kazanılan tutarlar sistemden ayrılma veya emeklilik durumunda katılımcıya ödenir.” hükmü,</w:t>
      </w:r>
    </w:p>
    <w:p w14:paraId="4B2073F3" w14:textId="77777777" w:rsidR="003454DC" w:rsidRPr="003D4460" w:rsidRDefault="003454DC" w:rsidP="003454DC">
      <w:pPr>
        <w:widowControl w:val="0"/>
        <w:spacing w:line="276" w:lineRule="auto"/>
        <w:ind w:left="170" w:right="170"/>
        <w:rPr>
          <w:rFonts w:ascii="Arial" w:eastAsiaTheme="minorHAnsi" w:hAnsi="Arial" w:cs="Arial"/>
          <w:bCs/>
          <w:noProof w:val="0"/>
          <w:color w:val="000000"/>
          <w:position w:val="0"/>
          <w:sz w:val="20"/>
          <w:szCs w:val="20"/>
        </w:rPr>
      </w:pPr>
      <w:r w:rsidRPr="003D4460">
        <w:rPr>
          <w:rFonts w:ascii="Arial" w:eastAsiaTheme="minorHAnsi" w:hAnsi="Arial" w:cs="Arial"/>
          <w:bCs/>
          <w:noProof w:val="0"/>
          <w:color w:val="000000"/>
          <w:position w:val="0"/>
          <w:sz w:val="20"/>
          <w:szCs w:val="20"/>
        </w:rPr>
        <w:t>yer almaktadır.</w:t>
      </w:r>
    </w:p>
    <w:p w14:paraId="370D075F" w14:textId="77777777" w:rsidR="003454DC" w:rsidRPr="003D4460" w:rsidRDefault="003454DC" w:rsidP="003454DC">
      <w:pPr>
        <w:widowControl w:val="0"/>
        <w:spacing w:line="276" w:lineRule="auto"/>
        <w:ind w:left="170" w:right="170"/>
        <w:rPr>
          <w:rFonts w:ascii="Arial" w:eastAsiaTheme="minorHAnsi" w:hAnsi="Arial" w:cs="Arial"/>
          <w:bCs/>
          <w:noProof w:val="0"/>
          <w:color w:val="000000"/>
          <w:position w:val="0"/>
          <w:sz w:val="20"/>
          <w:szCs w:val="20"/>
        </w:rPr>
      </w:pPr>
      <w:r w:rsidRPr="003D4460">
        <w:rPr>
          <w:rFonts w:ascii="Arial" w:eastAsiaTheme="minorHAnsi" w:hAnsi="Arial" w:cs="Arial"/>
          <w:bCs/>
          <w:noProof w:val="0"/>
          <w:color w:val="000000"/>
          <w:position w:val="0"/>
          <w:sz w:val="20"/>
          <w:szCs w:val="20"/>
        </w:rPr>
        <w:t>Buna göre, amme borçlularının 4632 sayılı Kanun kapsamındaki bireysel emeklilik hesaplarındaki birikimlerinin;</w:t>
      </w:r>
    </w:p>
    <w:p w14:paraId="09E0960A" w14:textId="77777777" w:rsidR="003454DC" w:rsidRPr="003D4460" w:rsidRDefault="003454DC" w:rsidP="003454DC">
      <w:pPr>
        <w:widowControl w:val="0"/>
        <w:spacing w:line="276" w:lineRule="auto"/>
        <w:ind w:left="170" w:right="170"/>
        <w:rPr>
          <w:rFonts w:ascii="Arial" w:eastAsiaTheme="minorHAnsi" w:hAnsi="Arial" w:cs="Arial"/>
          <w:bCs/>
          <w:noProof w:val="0"/>
          <w:color w:val="000000"/>
          <w:position w:val="0"/>
          <w:sz w:val="20"/>
          <w:szCs w:val="20"/>
        </w:rPr>
      </w:pPr>
      <w:r w:rsidRPr="003D4460">
        <w:rPr>
          <w:rFonts w:ascii="Arial" w:eastAsiaTheme="minorHAnsi" w:hAnsi="Arial" w:cs="Arial"/>
          <w:bCs/>
          <w:noProof w:val="0"/>
          <w:color w:val="000000"/>
          <w:position w:val="0"/>
          <w:sz w:val="20"/>
          <w:szCs w:val="20"/>
        </w:rPr>
        <w:t>- Henüz emeklilik hakkı kazanmamış olanların sistemde bulundukları ay sayısı ile haciz tarihinde geçerli brüt asgari ücret tutarının çarpımına karşılık gelen birikim tutarının üzerindeki kısmına,</w:t>
      </w:r>
    </w:p>
    <w:p w14:paraId="07E8BEE6" w14:textId="77777777" w:rsidR="003454DC" w:rsidRPr="003D4460" w:rsidRDefault="003454DC" w:rsidP="003454DC">
      <w:pPr>
        <w:widowControl w:val="0"/>
        <w:spacing w:line="276" w:lineRule="auto"/>
        <w:ind w:left="170" w:right="170"/>
        <w:rPr>
          <w:rFonts w:ascii="Arial" w:eastAsiaTheme="minorHAnsi" w:hAnsi="Arial" w:cs="Arial"/>
          <w:bCs/>
          <w:noProof w:val="0"/>
          <w:color w:val="000000"/>
          <w:position w:val="0"/>
          <w:sz w:val="20"/>
          <w:szCs w:val="20"/>
        </w:rPr>
      </w:pPr>
      <w:r w:rsidRPr="003D4460">
        <w:rPr>
          <w:rFonts w:ascii="Arial" w:eastAsiaTheme="minorHAnsi" w:hAnsi="Arial" w:cs="Arial"/>
          <w:bCs/>
          <w:noProof w:val="0"/>
          <w:color w:val="000000"/>
          <w:position w:val="0"/>
          <w:sz w:val="20"/>
          <w:szCs w:val="20"/>
        </w:rPr>
        <w:t>- Emeklilik hakkı kazanarak yıllık gelir sigortası çerçevesinde kendilerine maaş bağlanan veya hazırlanan bir program çerçevesinde düzenli ödeme yapılanların, bu şekildeki ödemelerin aylık ödemeye isabet eden miktarının aylık brüt asgari ücret tutarının üzerinde kalan kısmına,</w:t>
      </w:r>
    </w:p>
    <w:p w14:paraId="06F0390D" w14:textId="77777777" w:rsidR="003454DC" w:rsidRPr="003D4460" w:rsidRDefault="003454DC" w:rsidP="003454DC">
      <w:pPr>
        <w:widowControl w:val="0"/>
        <w:spacing w:line="276" w:lineRule="auto"/>
        <w:ind w:left="170" w:right="170"/>
        <w:rPr>
          <w:rFonts w:ascii="Arial" w:eastAsiaTheme="minorHAnsi" w:hAnsi="Arial" w:cs="Arial"/>
          <w:bCs/>
          <w:noProof w:val="0"/>
          <w:color w:val="000000"/>
          <w:position w:val="0"/>
          <w:sz w:val="20"/>
          <w:szCs w:val="20"/>
        </w:rPr>
      </w:pPr>
      <w:r w:rsidRPr="003D4460">
        <w:rPr>
          <w:rFonts w:ascii="Arial" w:eastAsiaTheme="minorHAnsi" w:hAnsi="Arial" w:cs="Arial"/>
          <w:bCs/>
          <w:noProof w:val="0"/>
          <w:color w:val="000000"/>
          <w:position w:val="0"/>
          <w:sz w:val="20"/>
          <w:szCs w:val="20"/>
        </w:rPr>
        <w:t>nafaka alacaklılarının hakları saklı kalmak üzere haciz tatbik edilecektir.</w:t>
      </w:r>
    </w:p>
    <w:p w14:paraId="48C963BD" w14:textId="77777777" w:rsidR="003454DC" w:rsidRPr="003D4460" w:rsidRDefault="003454DC" w:rsidP="003454DC">
      <w:pPr>
        <w:widowControl w:val="0"/>
        <w:spacing w:line="276" w:lineRule="auto"/>
        <w:ind w:left="170" w:right="170"/>
        <w:rPr>
          <w:rFonts w:ascii="Arial" w:eastAsiaTheme="minorHAnsi" w:hAnsi="Arial" w:cs="Arial"/>
          <w:bCs/>
          <w:noProof w:val="0"/>
          <w:color w:val="000000"/>
          <w:position w:val="0"/>
          <w:sz w:val="20"/>
          <w:szCs w:val="20"/>
        </w:rPr>
      </w:pPr>
      <w:r w:rsidRPr="003D4460">
        <w:rPr>
          <w:rFonts w:ascii="Arial" w:eastAsiaTheme="minorHAnsi" w:hAnsi="Arial" w:cs="Arial"/>
          <w:bCs/>
          <w:noProof w:val="0"/>
          <w:color w:val="000000"/>
          <w:position w:val="0"/>
          <w:sz w:val="20"/>
          <w:szCs w:val="20"/>
        </w:rPr>
        <w:t>Ancak, katılımcıların bireysel emeklilik sisteminden ayrılmaları halinde, sistemden alacakları tutarın, haczini engelleyen bir düzenleme bulunmadığından, amme alacağını karşılayacak kadar kısmının haczedilmesi mümkün bulunmaktadır.</w:t>
      </w:r>
    </w:p>
    <w:p w14:paraId="71043674" w14:textId="77777777" w:rsidR="003454DC" w:rsidRPr="003D4460" w:rsidRDefault="003454DC" w:rsidP="003454DC">
      <w:pPr>
        <w:widowControl w:val="0"/>
        <w:spacing w:line="276" w:lineRule="auto"/>
        <w:ind w:left="170" w:right="170"/>
        <w:rPr>
          <w:rFonts w:ascii="Arial" w:eastAsiaTheme="minorHAnsi" w:hAnsi="Arial" w:cs="Arial"/>
          <w:bCs/>
          <w:noProof w:val="0"/>
          <w:color w:val="000000"/>
          <w:position w:val="0"/>
          <w:sz w:val="20"/>
          <w:szCs w:val="20"/>
        </w:rPr>
      </w:pPr>
      <w:r w:rsidRPr="003D4460">
        <w:rPr>
          <w:rFonts w:ascii="Arial" w:eastAsiaTheme="minorHAnsi" w:hAnsi="Arial" w:cs="Arial"/>
          <w:bCs/>
          <w:noProof w:val="0"/>
          <w:color w:val="000000"/>
          <w:position w:val="0"/>
          <w:sz w:val="20"/>
          <w:szCs w:val="20"/>
        </w:rPr>
        <w:t>Diğer taraftan, bireysel emeklilik sisteminden emeklilik hakkı kazananlar ile bu sistemden vefat veya malûliyet nedeniyle ayrılanların devlet katkısı hesabındaki, hesabın tamamına hak kazanacağı, devlet katkısı hesabındaki tutarlardan hak kazanılan tutarlar sistemden ayrılma veya emeklilik durumunda katılımcıya ödeneceği dikkate alındığında hak kazanılma tarihlerinden önce emeklilik hesabında yer alan devlet katkısı tutarlarının haczedilemeyeceği tabiidir.”</w:t>
      </w:r>
    </w:p>
    <w:p w14:paraId="4845D7EB" w14:textId="77777777" w:rsidR="00A174FE" w:rsidRDefault="00A174FE">
      <w:bookmarkStart w:id="3" w:name="_GoBack"/>
      <w:bookmarkEnd w:id="3"/>
    </w:p>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40FF7" w14:textId="77777777" w:rsidR="00AA694C" w:rsidRDefault="00AA694C" w:rsidP="003454DC">
      <w:r>
        <w:separator/>
      </w:r>
    </w:p>
  </w:endnote>
  <w:endnote w:type="continuationSeparator" w:id="0">
    <w:p w14:paraId="5851961C" w14:textId="77777777" w:rsidR="00AA694C" w:rsidRDefault="00AA694C" w:rsidP="0034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5E60" w14:textId="332F0CAD" w:rsidR="003454DC" w:rsidRPr="003454DC" w:rsidRDefault="003454DC" w:rsidP="003454DC">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3DB7" w14:textId="135A017A" w:rsidR="003454DC" w:rsidRPr="003454DC" w:rsidRDefault="003454DC" w:rsidP="003454DC">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E7F73" w14:textId="75EA8FAE" w:rsidR="003454DC" w:rsidRPr="003454DC" w:rsidRDefault="003454DC" w:rsidP="003454DC">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83C10" w14:textId="77777777" w:rsidR="00AA694C" w:rsidRDefault="00AA694C" w:rsidP="003454DC">
      <w:r>
        <w:separator/>
      </w:r>
    </w:p>
  </w:footnote>
  <w:footnote w:type="continuationSeparator" w:id="0">
    <w:p w14:paraId="0D45ED2F" w14:textId="77777777" w:rsidR="00AA694C" w:rsidRDefault="00AA694C" w:rsidP="00345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2A8A2" w14:textId="77777777" w:rsidR="003454DC" w:rsidRDefault="003454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E93A" w14:textId="77777777" w:rsidR="003454DC" w:rsidRDefault="003454D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5A874" w14:textId="77777777" w:rsidR="003454DC" w:rsidRDefault="003454D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8F"/>
    <w:rsid w:val="003454DC"/>
    <w:rsid w:val="0078578F"/>
    <w:rsid w:val="00A174FE"/>
    <w:rsid w:val="00AA6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EE8096-93E2-4704-ABF8-ADC9949D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4DC"/>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3454DC"/>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454DC"/>
    <w:rPr>
      <w:rFonts w:ascii="Arial" w:eastAsiaTheme="majorEastAsia" w:hAnsi="Arial" w:cs="Arial"/>
      <w:b/>
      <w:bCs/>
      <w:color w:val="000000"/>
      <w:kern w:val="16"/>
      <w:sz w:val="24"/>
      <w:szCs w:val="24"/>
    </w:rPr>
  </w:style>
  <w:style w:type="paragraph" w:styleId="stBilgi">
    <w:name w:val="header"/>
    <w:basedOn w:val="Normal"/>
    <w:link w:val="stBilgiChar"/>
    <w:uiPriority w:val="99"/>
    <w:unhideWhenUsed/>
    <w:rsid w:val="003454DC"/>
    <w:pPr>
      <w:tabs>
        <w:tab w:val="center" w:pos="4536"/>
        <w:tab w:val="right" w:pos="9072"/>
      </w:tabs>
    </w:pPr>
  </w:style>
  <w:style w:type="character" w:customStyle="1" w:styleId="stBilgiChar">
    <w:name w:val="Üst Bilgi Char"/>
    <w:basedOn w:val="VarsaylanParagrafYazTipi"/>
    <w:link w:val="stBilgi"/>
    <w:uiPriority w:val="99"/>
    <w:rsid w:val="003454DC"/>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3454DC"/>
    <w:pPr>
      <w:tabs>
        <w:tab w:val="center" w:pos="4536"/>
        <w:tab w:val="right" w:pos="9072"/>
      </w:tabs>
    </w:pPr>
  </w:style>
  <w:style w:type="character" w:customStyle="1" w:styleId="AltBilgiChar">
    <w:name w:val="Alt Bilgi Char"/>
    <w:basedOn w:val="VarsaylanParagrafYazTipi"/>
    <w:link w:val="AltBilgi"/>
    <w:uiPriority w:val="99"/>
    <w:rsid w:val="003454DC"/>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E316DD3-DD51-46BE-A992-07A9A1DF6EC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2408</Characters>
  <Application>Microsoft Office Word</Application>
  <DocSecurity>0</DocSecurity>
  <Lines>20</Lines>
  <Paragraphs>5</Paragraphs>
  <ScaleCrop>false</ScaleCrop>
  <Company>Emeklilik Gozetim Merkezi</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2023-12-21T20:15:00Z</dcterms:created>
  <dcterms:modified xsi:type="dcterms:W3CDTF">2023-12-21T20:16:00Z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f7fbd496-c70d-444f-8a34-8171d4889f18</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