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B41C5" w14:textId="77777777" w:rsidR="003353EB" w:rsidRPr="003353EB" w:rsidRDefault="003353EB" w:rsidP="003353EB">
      <w:pPr>
        <w:adjustRightInd w:val="0"/>
        <w:ind w:right="170"/>
        <w:jc w:val="both"/>
        <w:rPr>
          <w:rFonts w:ascii="Arial" w:eastAsiaTheme="minorHAnsi" w:hAnsi="Arial" w:cs="Arial"/>
          <w:b/>
          <w:bCs/>
          <w:color w:val="000000"/>
          <w:kern w:val="16"/>
          <w:sz w:val="20"/>
          <w:szCs w:val="20"/>
          <w:u w:val="single"/>
        </w:rPr>
      </w:pPr>
      <w:r w:rsidRPr="003353EB">
        <w:rPr>
          <w:rFonts w:ascii="Arial" w:eastAsiaTheme="minorHAnsi" w:hAnsi="Arial" w:cs="Arial"/>
          <w:b/>
          <w:bCs/>
          <w:color w:val="000000"/>
          <w:kern w:val="16"/>
          <w:sz w:val="20"/>
          <w:szCs w:val="20"/>
          <w:u w:val="single"/>
        </w:rPr>
        <w:t>Resmi Gazete Dışından Kaynak</w:t>
      </w:r>
    </w:p>
    <w:p w14:paraId="7C86DC42" w14:textId="24D6E09F" w:rsidR="00304DCF" w:rsidRPr="005E57F7" w:rsidRDefault="003353EB" w:rsidP="003353EB">
      <w:pPr>
        <w:adjustRightInd w:val="0"/>
        <w:ind w:right="170"/>
        <w:jc w:val="both"/>
        <w:rPr>
          <w:rFonts w:ascii="Arial" w:eastAsiaTheme="minorHAnsi" w:hAnsi="Arial" w:cs="Arial"/>
          <w:b/>
          <w:bCs/>
          <w:color w:val="000000"/>
          <w:kern w:val="16"/>
          <w:sz w:val="20"/>
          <w:szCs w:val="20"/>
          <w:u w:val="single"/>
        </w:rPr>
      </w:pPr>
      <w:r w:rsidRPr="003353EB">
        <w:rPr>
          <w:rFonts w:ascii="Arial" w:eastAsiaTheme="minorHAnsi" w:hAnsi="Arial" w:cs="Arial"/>
          <w:b/>
          <w:bCs/>
          <w:color w:val="000000"/>
          <w:kern w:val="16"/>
          <w:sz w:val="20"/>
          <w:szCs w:val="20"/>
          <w:u w:val="single"/>
        </w:rPr>
        <w:t>Sigortacılık ve Özel Emeklilik Düzenleme ve Denetleme Kurumundan</w:t>
      </w:r>
      <w:r w:rsidR="005E57F7">
        <w:rPr>
          <w:rFonts w:ascii="Arial" w:eastAsiaTheme="minorHAnsi" w:hAnsi="Arial" w:cs="Arial"/>
          <w:b/>
          <w:bCs/>
          <w:color w:val="000000"/>
          <w:kern w:val="16"/>
          <w:sz w:val="20"/>
          <w:szCs w:val="20"/>
        </w:rPr>
        <w:tab/>
      </w:r>
      <w:r w:rsidR="005E57F7">
        <w:rPr>
          <w:rFonts w:ascii="Arial" w:eastAsiaTheme="minorHAnsi" w:hAnsi="Arial" w:cs="Arial"/>
          <w:b/>
          <w:bCs/>
          <w:color w:val="000000"/>
          <w:kern w:val="16"/>
          <w:sz w:val="20"/>
          <w:szCs w:val="20"/>
        </w:rPr>
        <w:tab/>
      </w:r>
      <w:r w:rsidR="005E57F7">
        <w:rPr>
          <w:rFonts w:ascii="Arial" w:eastAsiaTheme="minorHAnsi" w:hAnsi="Arial" w:cs="Arial"/>
          <w:b/>
          <w:bCs/>
          <w:color w:val="000000"/>
          <w:kern w:val="16"/>
          <w:sz w:val="20"/>
          <w:szCs w:val="20"/>
          <w:u w:val="single"/>
        </w:rPr>
        <w:t>13.04.2023</w:t>
      </w:r>
      <w:bookmarkStart w:id="0" w:name="_GoBack"/>
      <w:bookmarkEnd w:id="0"/>
    </w:p>
    <w:p w14:paraId="5CBCCAEF" w14:textId="77777777" w:rsidR="00304DCF" w:rsidRPr="000055AE" w:rsidRDefault="00304DCF" w:rsidP="003353EB">
      <w:pPr>
        <w:rPr>
          <w:rFonts w:ascii="Arial" w:hAnsi="Arial" w:cs="Arial"/>
        </w:rPr>
      </w:pPr>
    </w:p>
    <w:p w14:paraId="51C20F82" w14:textId="77777777" w:rsidR="00304DCF" w:rsidRPr="003353EB" w:rsidRDefault="00363937" w:rsidP="003353EB">
      <w:pPr>
        <w:widowControl/>
        <w:autoSpaceDE/>
        <w:autoSpaceDN/>
        <w:spacing w:line="276" w:lineRule="auto"/>
        <w:ind w:left="1376" w:right="1446"/>
        <w:jc w:val="center"/>
        <w:rPr>
          <w:rFonts w:ascii="Arial" w:eastAsiaTheme="minorHAnsi" w:hAnsi="Arial" w:cs="Arial"/>
          <w:b/>
          <w:color w:val="1C1C1C"/>
          <w:spacing w:val="-2"/>
          <w:w w:val="105"/>
          <w:kern w:val="16"/>
          <w:sz w:val="24"/>
          <w:szCs w:val="24"/>
        </w:rPr>
      </w:pPr>
      <w:r w:rsidRPr="003353EB">
        <w:rPr>
          <w:rFonts w:ascii="Arial" w:eastAsiaTheme="minorHAnsi" w:hAnsi="Arial" w:cs="Arial"/>
          <w:b/>
          <w:color w:val="1C1C1C"/>
          <w:spacing w:val="-2"/>
          <w:w w:val="105"/>
          <w:kern w:val="16"/>
          <w:sz w:val="24"/>
          <w:szCs w:val="24"/>
        </w:rPr>
        <w:t>SİGORTACILIK VE ÖZEL EMEKLİLİK SEKTÖRLERİNDE İÇ SİSTEMLERE DAİR YÖNETMELİK KAPSAMINDA KURUMA VE KAMUOYUNA YAPILACAK RAPORLAMALARDA SÜRE UZATIMI HAKKINDA GENELGE</w:t>
      </w:r>
      <w:r w:rsidR="007879D2" w:rsidRPr="003353EB">
        <w:rPr>
          <w:rFonts w:ascii="Arial" w:eastAsiaTheme="minorHAnsi" w:hAnsi="Arial" w:cs="Arial"/>
          <w:b/>
          <w:color w:val="1C1C1C"/>
          <w:spacing w:val="-2"/>
          <w:w w:val="105"/>
          <w:kern w:val="16"/>
          <w:sz w:val="24"/>
          <w:szCs w:val="24"/>
        </w:rPr>
        <w:t xml:space="preserve"> </w:t>
      </w:r>
      <w:r w:rsidRPr="003353EB">
        <w:rPr>
          <w:rFonts w:ascii="Arial" w:eastAsiaTheme="minorHAnsi" w:hAnsi="Arial" w:cs="Arial"/>
          <w:b/>
          <w:color w:val="1C1C1C"/>
          <w:spacing w:val="-2"/>
          <w:w w:val="105"/>
          <w:kern w:val="16"/>
          <w:sz w:val="24"/>
          <w:szCs w:val="24"/>
        </w:rPr>
        <w:t>(2023/15)</w:t>
      </w:r>
    </w:p>
    <w:p w14:paraId="1CD9E285" w14:textId="77777777" w:rsidR="00304DCF" w:rsidRDefault="00304DCF" w:rsidP="00607A14">
      <w:pPr>
        <w:rPr>
          <w:rFonts w:ascii="Arial" w:hAnsi="Arial" w:cs="Arial"/>
          <w:b/>
        </w:rPr>
      </w:pPr>
    </w:p>
    <w:p w14:paraId="6DD3B831" w14:textId="77777777" w:rsidR="003353EB" w:rsidRPr="000055AE" w:rsidRDefault="003353EB" w:rsidP="00607A14">
      <w:pPr>
        <w:rPr>
          <w:rFonts w:ascii="Arial" w:hAnsi="Arial" w:cs="Arial"/>
          <w:b/>
        </w:rPr>
      </w:pPr>
    </w:p>
    <w:p w14:paraId="6E4E32A0" w14:textId="77777777" w:rsidR="00304DCF" w:rsidRPr="003353EB" w:rsidRDefault="00363937" w:rsidP="003353EB">
      <w:pPr>
        <w:widowControl/>
        <w:autoSpaceDE/>
        <w:autoSpaceDN/>
        <w:spacing w:line="276" w:lineRule="auto"/>
        <w:ind w:left="170" w:right="170"/>
        <w:jc w:val="both"/>
        <w:rPr>
          <w:rFonts w:ascii="Arial" w:eastAsiaTheme="minorHAnsi" w:hAnsi="Arial" w:cs="Arial"/>
          <w:color w:val="000000"/>
          <w:kern w:val="16"/>
          <w:sz w:val="20"/>
          <w:szCs w:val="20"/>
        </w:rPr>
      </w:pPr>
      <w:r w:rsidRPr="003353EB">
        <w:rPr>
          <w:rFonts w:ascii="Arial" w:eastAsiaTheme="minorHAnsi" w:hAnsi="Arial" w:cs="Arial"/>
          <w:b/>
          <w:color w:val="000000"/>
          <w:kern w:val="16"/>
          <w:sz w:val="20"/>
          <w:szCs w:val="20"/>
        </w:rPr>
        <w:t>MADDE 1 -</w:t>
      </w:r>
      <w:r w:rsidRPr="003353EB">
        <w:rPr>
          <w:rFonts w:ascii="Arial" w:eastAsiaTheme="minorHAnsi" w:hAnsi="Arial" w:cs="Arial"/>
          <w:color w:val="000000"/>
          <w:kern w:val="16"/>
          <w:sz w:val="20"/>
          <w:szCs w:val="20"/>
        </w:rPr>
        <w:t xml:space="preserve"> (1) Sigortacılık ve Özel Emeklilik Sektörlerinde İç Sistemlere Dair Yönetmeliğin Geçici Madde 1'inin on birinci fıkrası "Kurum, kuruluş iç sistemlerinin kurulması ve işletilmesine, denetim komitesinin, birim yöneticilerinin ve personelinin atanmasına, bilgi sistemlerinin bu Yönetmelikte belirtilen standartlara uyumlu hale getirilmesine, Kuruma ve kamuoyuna yapılacak raporlamalara ilişkin bu maddede belirtilen geçiş sürelerini ihtiyaç duyulması halinde bir yıl uzatabilir." hükmünü haizdir. Bu çerçevede Kurul kararına istinaden, Kuruma yapılacak raporlamaların başlangıç tarihi bir ay uzatılarak ilk raporlama tarihi 31.05.2023 olarak belirlenmiş; kamuoyuna internet sitesi üzerinden yapılacak raporlamaların başlangıç tarihi altı ay uzatılarak ilk raporlamanın 2023 yılı Temmuz-Eylül dönemi için Ekim ayı sonunda yapılmasına karar verilmiştir.</w:t>
      </w:r>
    </w:p>
    <w:p w14:paraId="48F903A9" w14:textId="77777777" w:rsidR="003353EB" w:rsidRDefault="003353EB" w:rsidP="003353EB">
      <w:pPr>
        <w:widowControl/>
        <w:autoSpaceDE/>
        <w:autoSpaceDN/>
        <w:spacing w:line="276" w:lineRule="auto"/>
        <w:ind w:left="170" w:right="170"/>
        <w:jc w:val="both"/>
        <w:rPr>
          <w:rFonts w:ascii="Arial" w:eastAsiaTheme="minorHAnsi" w:hAnsi="Arial" w:cs="Arial"/>
          <w:color w:val="000000"/>
          <w:kern w:val="16"/>
          <w:sz w:val="20"/>
          <w:szCs w:val="20"/>
        </w:rPr>
      </w:pPr>
    </w:p>
    <w:p w14:paraId="140E34A7" w14:textId="77777777" w:rsidR="00304DCF" w:rsidRPr="003353EB" w:rsidRDefault="00363937" w:rsidP="003353EB">
      <w:pPr>
        <w:widowControl/>
        <w:autoSpaceDE/>
        <w:autoSpaceDN/>
        <w:spacing w:line="276" w:lineRule="auto"/>
        <w:ind w:left="170" w:right="170"/>
        <w:jc w:val="both"/>
        <w:rPr>
          <w:rFonts w:ascii="Arial" w:eastAsiaTheme="minorHAnsi" w:hAnsi="Arial" w:cs="Arial"/>
          <w:color w:val="000000"/>
          <w:kern w:val="16"/>
          <w:sz w:val="20"/>
          <w:szCs w:val="20"/>
        </w:rPr>
      </w:pPr>
      <w:r w:rsidRPr="003353EB">
        <w:rPr>
          <w:rFonts w:ascii="Arial" w:eastAsiaTheme="minorHAnsi" w:hAnsi="Arial" w:cs="Arial"/>
          <w:b/>
          <w:color w:val="000000"/>
          <w:kern w:val="16"/>
          <w:sz w:val="20"/>
          <w:szCs w:val="20"/>
        </w:rPr>
        <w:t>MADDE 2 -</w:t>
      </w:r>
      <w:r w:rsidRPr="003353EB">
        <w:rPr>
          <w:rFonts w:ascii="Arial" w:eastAsiaTheme="minorHAnsi" w:hAnsi="Arial" w:cs="Arial"/>
          <w:color w:val="000000"/>
          <w:kern w:val="16"/>
          <w:sz w:val="20"/>
          <w:szCs w:val="20"/>
        </w:rPr>
        <w:t xml:space="preserve"> (1) Bu Genelge yayımı tarihinde yürürlüğe girer.</w:t>
      </w:r>
    </w:p>
    <w:p w14:paraId="00069E5F" w14:textId="77777777" w:rsidR="003353EB" w:rsidRDefault="003353EB" w:rsidP="003353EB">
      <w:pPr>
        <w:widowControl/>
        <w:autoSpaceDE/>
        <w:autoSpaceDN/>
        <w:spacing w:line="276" w:lineRule="auto"/>
        <w:ind w:left="170" w:right="170"/>
        <w:jc w:val="both"/>
        <w:rPr>
          <w:rFonts w:ascii="Arial" w:eastAsiaTheme="minorHAnsi" w:hAnsi="Arial" w:cs="Arial"/>
          <w:color w:val="000000"/>
          <w:kern w:val="16"/>
          <w:sz w:val="20"/>
          <w:szCs w:val="20"/>
        </w:rPr>
      </w:pPr>
    </w:p>
    <w:p w14:paraId="18F662BA" w14:textId="77777777" w:rsidR="00304DCF" w:rsidRDefault="00363937" w:rsidP="003353EB">
      <w:pPr>
        <w:widowControl/>
        <w:autoSpaceDE/>
        <w:autoSpaceDN/>
        <w:spacing w:line="276" w:lineRule="auto"/>
        <w:ind w:left="170" w:right="170"/>
        <w:jc w:val="both"/>
        <w:rPr>
          <w:rFonts w:ascii="Arial" w:eastAsiaTheme="minorHAnsi" w:hAnsi="Arial" w:cs="Arial"/>
          <w:color w:val="000000"/>
          <w:kern w:val="16"/>
          <w:sz w:val="20"/>
          <w:szCs w:val="20"/>
        </w:rPr>
      </w:pPr>
      <w:r w:rsidRPr="003353EB">
        <w:rPr>
          <w:rFonts w:ascii="Arial" w:eastAsiaTheme="minorHAnsi" w:hAnsi="Arial" w:cs="Arial"/>
          <w:b/>
          <w:color w:val="000000"/>
          <w:kern w:val="16"/>
          <w:sz w:val="20"/>
          <w:szCs w:val="20"/>
        </w:rPr>
        <w:t>MADDE 3 -</w:t>
      </w:r>
      <w:r w:rsidRPr="003353EB">
        <w:rPr>
          <w:rFonts w:ascii="Arial" w:eastAsiaTheme="minorHAnsi" w:hAnsi="Arial" w:cs="Arial"/>
          <w:color w:val="000000"/>
          <w:kern w:val="16"/>
          <w:sz w:val="20"/>
          <w:szCs w:val="20"/>
        </w:rPr>
        <w:t xml:space="preserve"> (1) Bu Genelge hükümlerini Sigortacılık ve Özel Emeklilik Düzenleme ve Denetleme Kurumu Başkanı yürütür.</w:t>
      </w:r>
    </w:p>
    <w:p w14:paraId="3F364699" w14:textId="77777777" w:rsidR="003353EB" w:rsidRDefault="003353EB" w:rsidP="003353EB">
      <w:pPr>
        <w:widowControl/>
        <w:autoSpaceDE/>
        <w:autoSpaceDN/>
        <w:spacing w:line="276" w:lineRule="auto"/>
        <w:ind w:left="170" w:right="170"/>
        <w:jc w:val="both"/>
        <w:rPr>
          <w:rFonts w:ascii="Arial" w:eastAsiaTheme="minorHAnsi" w:hAnsi="Arial" w:cs="Arial"/>
          <w:color w:val="000000"/>
          <w:kern w:val="16"/>
          <w:sz w:val="20"/>
          <w:szCs w:val="20"/>
        </w:rPr>
      </w:pPr>
    </w:p>
    <w:p w14:paraId="203F3897" w14:textId="77777777" w:rsidR="003353EB" w:rsidRDefault="003353EB" w:rsidP="003353EB">
      <w:pPr>
        <w:widowControl/>
        <w:autoSpaceDE/>
        <w:autoSpaceDN/>
        <w:spacing w:line="276" w:lineRule="auto"/>
        <w:ind w:left="170" w:right="170"/>
        <w:jc w:val="both"/>
        <w:rPr>
          <w:rFonts w:ascii="Arial" w:eastAsiaTheme="minorHAnsi" w:hAnsi="Arial" w:cs="Arial"/>
          <w:color w:val="000000"/>
          <w:kern w:val="16"/>
          <w:sz w:val="20"/>
          <w:szCs w:val="20"/>
        </w:rPr>
      </w:pPr>
    </w:p>
    <w:tbl>
      <w:tblPr>
        <w:tblStyle w:val="TabloKlavuzu"/>
        <w:tblW w:w="0" w:type="auto"/>
        <w:tblInd w:w="0" w:type="dxa"/>
        <w:tblLook w:val="04A0" w:firstRow="1" w:lastRow="0" w:firstColumn="1" w:lastColumn="0" w:noHBand="0" w:noVBand="1"/>
      </w:tblPr>
      <w:tblGrid>
        <w:gridCol w:w="3074"/>
        <w:gridCol w:w="3075"/>
        <w:gridCol w:w="3075"/>
      </w:tblGrid>
      <w:tr w:rsidR="003353EB" w:rsidRPr="001D7EEF" w14:paraId="7C987C95" w14:textId="77777777" w:rsidTr="00AF1A23">
        <w:tc>
          <w:tcPr>
            <w:tcW w:w="9224" w:type="dxa"/>
            <w:gridSpan w:val="3"/>
          </w:tcPr>
          <w:p w14:paraId="346AB46D" w14:textId="77777777" w:rsidR="003353EB" w:rsidRPr="003353EB" w:rsidRDefault="003353EB" w:rsidP="00AF1A23">
            <w:pPr>
              <w:jc w:val="center"/>
              <w:rPr>
                <w:rFonts w:ascii="Arial" w:hAnsi="Arial" w:cs="Arial"/>
                <w:b/>
              </w:rPr>
            </w:pPr>
            <w:r w:rsidRPr="003353EB">
              <w:rPr>
                <w:rFonts w:ascii="Arial" w:hAnsi="Arial" w:cs="Arial"/>
                <w:b/>
              </w:rPr>
              <w:t>Genelge’nin</w:t>
            </w:r>
          </w:p>
        </w:tc>
      </w:tr>
      <w:tr w:rsidR="003353EB" w:rsidRPr="001D7EEF" w14:paraId="6ADC9AFB" w14:textId="77777777" w:rsidTr="00AF1A23">
        <w:tc>
          <w:tcPr>
            <w:tcW w:w="3074" w:type="dxa"/>
          </w:tcPr>
          <w:p w14:paraId="00F048CF" w14:textId="77777777" w:rsidR="003353EB" w:rsidRPr="003353EB" w:rsidRDefault="003353EB" w:rsidP="00AF1A23">
            <w:pPr>
              <w:jc w:val="center"/>
              <w:rPr>
                <w:rFonts w:ascii="Arial" w:hAnsi="Arial" w:cs="Arial"/>
                <w:b/>
              </w:rPr>
            </w:pPr>
            <w:r w:rsidRPr="003353EB">
              <w:rPr>
                <w:rFonts w:ascii="Arial" w:hAnsi="Arial" w:cs="Arial"/>
                <w:b/>
              </w:rPr>
              <w:t>Numarası</w:t>
            </w:r>
          </w:p>
        </w:tc>
        <w:tc>
          <w:tcPr>
            <w:tcW w:w="3075" w:type="dxa"/>
          </w:tcPr>
          <w:p w14:paraId="1D25D73D" w14:textId="77777777" w:rsidR="003353EB" w:rsidRPr="003353EB" w:rsidRDefault="003353EB" w:rsidP="00AF1A23">
            <w:pPr>
              <w:jc w:val="center"/>
              <w:rPr>
                <w:rFonts w:ascii="Arial" w:hAnsi="Arial" w:cs="Arial"/>
                <w:b/>
              </w:rPr>
            </w:pPr>
            <w:r w:rsidRPr="003353EB">
              <w:rPr>
                <w:rFonts w:ascii="Arial" w:hAnsi="Arial" w:cs="Arial"/>
                <w:b/>
              </w:rPr>
              <w:t>Kabul Tarihi</w:t>
            </w:r>
          </w:p>
        </w:tc>
        <w:tc>
          <w:tcPr>
            <w:tcW w:w="3075" w:type="dxa"/>
          </w:tcPr>
          <w:p w14:paraId="4FBEEED1" w14:textId="77777777" w:rsidR="003353EB" w:rsidRPr="003353EB" w:rsidRDefault="003353EB" w:rsidP="00AF1A23">
            <w:pPr>
              <w:jc w:val="center"/>
              <w:rPr>
                <w:rFonts w:ascii="Arial" w:hAnsi="Arial" w:cs="Arial"/>
                <w:b/>
              </w:rPr>
            </w:pPr>
            <w:r w:rsidRPr="003353EB">
              <w:rPr>
                <w:rFonts w:ascii="Arial" w:hAnsi="Arial" w:cs="Arial"/>
                <w:b/>
              </w:rPr>
              <w:t>Yürürlüğe Giriş Tarihi</w:t>
            </w:r>
          </w:p>
        </w:tc>
      </w:tr>
      <w:tr w:rsidR="003353EB" w14:paraId="646114B3" w14:textId="77777777" w:rsidTr="00AF1A23">
        <w:tc>
          <w:tcPr>
            <w:tcW w:w="3074" w:type="dxa"/>
          </w:tcPr>
          <w:p w14:paraId="2C32899E" w14:textId="77777777" w:rsidR="003353EB" w:rsidRPr="003353EB" w:rsidRDefault="003353EB" w:rsidP="00AF1A23">
            <w:pPr>
              <w:jc w:val="center"/>
              <w:rPr>
                <w:rFonts w:ascii="Arial" w:hAnsi="Arial" w:cs="Arial"/>
              </w:rPr>
            </w:pPr>
            <w:r w:rsidRPr="003353EB">
              <w:rPr>
                <w:rFonts w:ascii="Arial" w:hAnsi="Arial" w:cs="Arial"/>
              </w:rPr>
              <w:t>2023/</w:t>
            </w:r>
            <w:r>
              <w:rPr>
                <w:rFonts w:ascii="Arial" w:hAnsi="Arial" w:cs="Arial"/>
              </w:rPr>
              <w:t>15</w:t>
            </w:r>
          </w:p>
        </w:tc>
        <w:tc>
          <w:tcPr>
            <w:tcW w:w="3075" w:type="dxa"/>
          </w:tcPr>
          <w:p w14:paraId="29D644BF" w14:textId="77777777" w:rsidR="003353EB" w:rsidRPr="003353EB" w:rsidRDefault="003353EB" w:rsidP="00AF1A23">
            <w:pPr>
              <w:jc w:val="center"/>
              <w:rPr>
                <w:rFonts w:ascii="Arial" w:hAnsi="Arial" w:cs="Arial"/>
              </w:rPr>
            </w:pPr>
            <w:r>
              <w:rPr>
                <w:rFonts w:ascii="Arial" w:hAnsi="Arial" w:cs="Arial"/>
              </w:rPr>
              <w:t>13.04.2023</w:t>
            </w:r>
          </w:p>
        </w:tc>
        <w:tc>
          <w:tcPr>
            <w:tcW w:w="3075" w:type="dxa"/>
          </w:tcPr>
          <w:p w14:paraId="1C181EC4" w14:textId="77777777" w:rsidR="003353EB" w:rsidRPr="003353EB" w:rsidRDefault="003353EB" w:rsidP="00AF1A23">
            <w:pPr>
              <w:jc w:val="center"/>
              <w:rPr>
                <w:rFonts w:ascii="Arial" w:hAnsi="Arial" w:cs="Arial"/>
              </w:rPr>
            </w:pPr>
            <w:r>
              <w:rPr>
                <w:rFonts w:ascii="Arial" w:hAnsi="Arial" w:cs="Arial"/>
              </w:rPr>
              <w:t>17.04.2023</w:t>
            </w:r>
          </w:p>
        </w:tc>
      </w:tr>
    </w:tbl>
    <w:p w14:paraId="7B640C83" w14:textId="77777777" w:rsidR="003353EB" w:rsidRPr="003353EB" w:rsidRDefault="003353EB" w:rsidP="003353EB">
      <w:pPr>
        <w:widowControl/>
        <w:autoSpaceDE/>
        <w:autoSpaceDN/>
        <w:spacing w:line="276" w:lineRule="auto"/>
        <w:ind w:left="170" w:right="170"/>
        <w:jc w:val="both"/>
        <w:rPr>
          <w:rFonts w:ascii="Arial" w:eastAsiaTheme="minorHAnsi" w:hAnsi="Arial" w:cs="Arial"/>
          <w:color w:val="000000"/>
          <w:kern w:val="16"/>
          <w:sz w:val="20"/>
          <w:szCs w:val="20"/>
        </w:rPr>
      </w:pPr>
    </w:p>
    <w:p w14:paraId="4840F699" w14:textId="77777777" w:rsidR="00304DCF" w:rsidRPr="000055AE" w:rsidRDefault="00304DCF" w:rsidP="00607A14">
      <w:pPr>
        <w:rPr>
          <w:rFonts w:ascii="Arial" w:hAnsi="Arial" w:cs="Arial"/>
        </w:rPr>
      </w:pPr>
    </w:p>
    <w:p w14:paraId="7F4132E8" w14:textId="77777777" w:rsidR="00304DCF" w:rsidRPr="000055AE" w:rsidRDefault="00304DCF" w:rsidP="00607A14">
      <w:pPr>
        <w:rPr>
          <w:rFonts w:ascii="Arial" w:hAnsi="Arial" w:cs="Arial"/>
        </w:rPr>
      </w:pPr>
    </w:p>
    <w:p w14:paraId="034ADAA2" w14:textId="77777777" w:rsidR="00304DCF" w:rsidRPr="000055AE" w:rsidRDefault="00304DCF" w:rsidP="00607A14">
      <w:pPr>
        <w:rPr>
          <w:rFonts w:ascii="Arial" w:hAnsi="Arial" w:cs="Arial"/>
        </w:rPr>
      </w:pPr>
    </w:p>
    <w:p w14:paraId="69B21F23" w14:textId="77777777" w:rsidR="00304DCF" w:rsidRPr="000055AE" w:rsidRDefault="00304DCF" w:rsidP="00607A14">
      <w:pPr>
        <w:rPr>
          <w:rFonts w:ascii="Arial" w:hAnsi="Arial" w:cs="Arial"/>
        </w:rPr>
      </w:pPr>
    </w:p>
    <w:p w14:paraId="71617AF3" w14:textId="77777777" w:rsidR="00304DCF" w:rsidRPr="000055AE" w:rsidRDefault="00304DCF" w:rsidP="00607A14">
      <w:pPr>
        <w:rPr>
          <w:rFonts w:ascii="Arial" w:hAnsi="Arial" w:cs="Arial"/>
        </w:rPr>
      </w:pPr>
    </w:p>
    <w:p w14:paraId="43B6A913" w14:textId="77777777" w:rsidR="00304DCF" w:rsidRPr="000055AE" w:rsidRDefault="00304DCF">
      <w:pPr>
        <w:rPr>
          <w:rFonts w:ascii="Arial" w:hAnsi="Arial" w:cs="Arial"/>
        </w:rPr>
      </w:pPr>
    </w:p>
    <w:p w14:paraId="51810DDA" w14:textId="77777777" w:rsidR="00304DCF" w:rsidRPr="000055AE" w:rsidRDefault="00304DCF">
      <w:pPr>
        <w:rPr>
          <w:rFonts w:ascii="Arial" w:hAnsi="Arial" w:cs="Arial"/>
        </w:rPr>
      </w:pPr>
    </w:p>
    <w:p w14:paraId="5EFD36C4" w14:textId="77777777" w:rsidR="00304DCF" w:rsidRPr="000055AE" w:rsidRDefault="00304DCF">
      <w:pPr>
        <w:rPr>
          <w:rFonts w:ascii="Arial" w:hAnsi="Arial" w:cs="Arial"/>
        </w:rPr>
      </w:pPr>
    </w:p>
    <w:p w14:paraId="332ADD7D" w14:textId="77777777" w:rsidR="00304DCF" w:rsidRPr="000055AE" w:rsidRDefault="00304DCF">
      <w:pPr>
        <w:rPr>
          <w:rFonts w:ascii="Arial" w:hAnsi="Arial" w:cs="Arial"/>
        </w:rPr>
      </w:pPr>
    </w:p>
    <w:p w14:paraId="0E7FC78D" w14:textId="77777777" w:rsidR="00304DCF" w:rsidRPr="000055AE" w:rsidRDefault="00304DCF">
      <w:pPr>
        <w:spacing w:before="3"/>
        <w:rPr>
          <w:rFonts w:ascii="Arial" w:hAnsi="Arial" w:cs="Arial"/>
        </w:rPr>
      </w:pPr>
    </w:p>
    <w:sectPr w:rsidR="00304DCF" w:rsidRPr="000055AE">
      <w:headerReference w:type="even" r:id="rId7"/>
      <w:headerReference w:type="default" r:id="rId8"/>
      <w:footerReference w:type="even" r:id="rId9"/>
      <w:footerReference w:type="default" r:id="rId10"/>
      <w:headerReference w:type="first" r:id="rId11"/>
      <w:footerReference w:type="first" r:id="rId12"/>
      <w:type w:val="continuous"/>
      <w:pgSz w:w="11900" w:h="16840"/>
      <w:pgMar w:top="1260" w:right="126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C3F37" w14:textId="77777777" w:rsidR="00313F5A" w:rsidRDefault="00313F5A" w:rsidP="00673A24">
      <w:r>
        <w:separator/>
      </w:r>
    </w:p>
  </w:endnote>
  <w:endnote w:type="continuationSeparator" w:id="0">
    <w:p w14:paraId="3D9EC1C8" w14:textId="77777777" w:rsidR="00313F5A" w:rsidRDefault="00313F5A" w:rsidP="0067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2394" w14:textId="3B1A67D4" w:rsidR="00673A24" w:rsidRPr="005E57F7" w:rsidRDefault="005E57F7" w:rsidP="005E57F7">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AE60" w14:textId="54ED743B" w:rsidR="00673A24" w:rsidRPr="005E57F7" w:rsidRDefault="005E57F7" w:rsidP="005E57F7">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8165" w14:textId="3532BA81" w:rsidR="00673A24" w:rsidRPr="005E57F7" w:rsidRDefault="005E57F7" w:rsidP="005E57F7">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1B578" w14:textId="77777777" w:rsidR="00313F5A" w:rsidRDefault="00313F5A" w:rsidP="00673A24">
      <w:r>
        <w:separator/>
      </w:r>
    </w:p>
  </w:footnote>
  <w:footnote w:type="continuationSeparator" w:id="0">
    <w:p w14:paraId="6F1847EC" w14:textId="77777777" w:rsidR="00313F5A" w:rsidRDefault="00313F5A" w:rsidP="0067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1C59" w14:textId="77777777" w:rsidR="00673A24" w:rsidRDefault="00673A2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C2FB" w14:textId="77777777" w:rsidR="00673A24" w:rsidRDefault="00673A2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9DCE" w14:textId="77777777" w:rsidR="00673A24" w:rsidRDefault="00673A2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4DCF"/>
    <w:rsid w:val="000055AE"/>
    <w:rsid w:val="00304DCF"/>
    <w:rsid w:val="00313F5A"/>
    <w:rsid w:val="003353EB"/>
    <w:rsid w:val="00363937"/>
    <w:rsid w:val="005E57F7"/>
    <w:rsid w:val="00607A14"/>
    <w:rsid w:val="00673A24"/>
    <w:rsid w:val="00690D23"/>
    <w:rsid w:val="007879D2"/>
    <w:rsid w:val="009F2ABD"/>
    <w:rsid w:val="00B123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68329"/>
  <w15:docId w15:val="{FAD7E8D7-1309-4F4D-8BC0-C20E50A9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3"/>
      <w:szCs w:val="23"/>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73A24"/>
    <w:pPr>
      <w:tabs>
        <w:tab w:val="center" w:pos="4536"/>
        <w:tab w:val="right" w:pos="9072"/>
      </w:tabs>
    </w:pPr>
  </w:style>
  <w:style w:type="character" w:customStyle="1" w:styleId="stBilgiChar">
    <w:name w:val="Üst Bilgi Char"/>
    <w:basedOn w:val="VarsaylanParagrafYazTipi"/>
    <w:link w:val="stBilgi"/>
    <w:uiPriority w:val="99"/>
    <w:rsid w:val="00673A24"/>
    <w:rPr>
      <w:rFonts w:ascii="Times New Roman" w:eastAsia="Times New Roman" w:hAnsi="Times New Roman" w:cs="Times New Roman"/>
      <w:lang w:val="tr-TR"/>
    </w:rPr>
  </w:style>
  <w:style w:type="paragraph" w:styleId="AltBilgi">
    <w:name w:val="footer"/>
    <w:basedOn w:val="Normal"/>
    <w:link w:val="AltBilgiChar"/>
    <w:uiPriority w:val="99"/>
    <w:unhideWhenUsed/>
    <w:rsid w:val="00673A24"/>
    <w:pPr>
      <w:tabs>
        <w:tab w:val="center" w:pos="4536"/>
        <w:tab w:val="right" w:pos="9072"/>
      </w:tabs>
    </w:pPr>
  </w:style>
  <w:style w:type="character" w:customStyle="1" w:styleId="AltBilgiChar">
    <w:name w:val="Alt Bilgi Char"/>
    <w:basedOn w:val="VarsaylanParagrafYazTipi"/>
    <w:link w:val="AltBilgi"/>
    <w:uiPriority w:val="99"/>
    <w:rsid w:val="00673A24"/>
    <w:rPr>
      <w:rFonts w:ascii="Times New Roman" w:eastAsia="Times New Roman" w:hAnsi="Times New Roman" w:cs="Times New Roman"/>
      <w:lang w:val="tr-TR"/>
    </w:rPr>
  </w:style>
  <w:style w:type="table" w:styleId="TabloKlavuzu">
    <w:name w:val="Table Grid"/>
    <w:basedOn w:val="NormalTablo"/>
    <w:uiPriority w:val="59"/>
    <w:rsid w:val="003353EB"/>
    <w:pPr>
      <w:widowControl/>
      <w:autoSpaceDE/>
      <w:autoSpaceDN/>
      <w:jc w:val="both"/>
    </w:pPr>
    <w:rPr>
      <w:rFonts w:ascii="Times New Roman" w:eastAsia="Times New Roman" w:hAnsi="Times New Roman" w:cs="Times New Roman"/>
      <w:color w:val="000000"/>
      <w:kern w:val="16"/>
      <w:sz w:val="20"/>
      <w:szCs w:val="20"/>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info-data">
    <w:name w:val="document-info-data"/>
    <w:rsid w:val="005E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A775052-E24A-43D1-AAB8-6EA1DE250F1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dosyaDetayGosterServlet</vt:lpstr>
    </vt:vector>
  </TitlesOfParts>
  <Company>Emeklilik Gozetim Merkezi</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dosyaDetayGosterServlet</dc:title>
  <dc:creator>ercan.gulec</dc:creator>
  <cp:lastModifiedBy>Bahattin ÖZKAN</cp:lastModifiedBy>
  <cp:revision>9</cp:revision>
  <cp:lastPrinted>2023-04-18T14:20:00Z</cp:lastPrinted>
  <dcterms:created xsi:type="dcterms:W3CDTF">2023-04-17T11:16:00Z</dcterms:created>
  <dcterms:modified xsi:type="dcterms:W3CDTF">2023-08-08T14:03:00Z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2023-04-13T00:00:00Z</vt:filetime>
  </property>
  <property fmtid="{D5CDD505-2E9C-101B-9397-08002B2CF9AE}" pid="3" name="Creator">
    <vt:lpwstr>dosyaDetayGosterServlet</vt:lpwstr>
  </property>
  <property fmtid="{D5CDD505-2E9C-101B-9397-08002B2CF9AE}" pid="4" name="Producer">
    <vt:lpwstr>doPDF   Ver 6.1 Build 281 (Windows Vista  x64)</vt:lpwstr>
  </property>
  <property fmtid="{D5CDD505-2E9C-101B-9397-08002B2CF9AE}" pid="5" name="LastSaved">
    <vt:filetime>2023-04-13T00:00:00Z</vt:filetime>
  </property>
  <property fmtid="{D5CDD505-2E9C-101B-9397-08002B2CF9AE}" pid="6" name="docIndexRef">
    <vt:lpwstr>84d5d71f-0126-43ad-b54c-017357380672</vt:lpwstr>
  </property>
  <property fmtid="{D5CDD505-2E9C-101B-9397-08002B2CF9AE}" pid="7" name="bjSaver">
    <vt:lpwstr>HLvm0QIY5oOAk++36evuxaw38xTdytxi</vt:lpwstr>
  </property>
  <property fmtid="{D5CDD505-2E9C-101B-9397-08002B2CF9AE}" pid="8"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9" name="bjDocumentLabelXML-0">
    <vt:lpwstr>ames.com/2008/01/sie/internal/label"&gt;&lt;element uid="16f479a6-fc80-474c-ab11-d67f073bb2c9" value="" /&gt;&lt;/sisl&gt;</vt:lpwstr>
  </property>
  <property fmtid="{D5CDD505-2E9C-101B-9397-08002B2CF9AE}" pid="10" name="bjDocumentSecurityLabel">
    <vt:lpwstr>Bu iletinin sınıflandırması Genel</vt:lpwstr>
  </property>
  <property fmtid="{D5CDD505-2E9C-101B-9397-08002B2CF9AE}" pid="11" name="bjClsUserRVM">
    <vt:lpwstr>[]</vt:lpwstr>
  </property>
  <property fmtid="{D5CDD505-2E9C-101B-9397-08002B2CF9AE}" pid="12" name="bjFooterBothDocProperty">
    <vt:lpwstr>Sınıflandırma|Genel</vt:lpwstr>
  </property>
  <property fmtid="{D5CDD505-2E9C-101B-9397-08002B2CF9AE}" pid="13" name="bjFooterFirstPageDocProperty">
    <vt:lpwstr>Sınıflandırma|Genel</vt:lpwstr>
  </property>
  <property fmtid="{D5CDD505-2E9C-101B-9397-08002B2CF9AE}" pid="14" name="bjFooterEvenPageDocProperty">
    <vt:lpwstr>Sınıflandırma|Genel</vt:lpwstr>
  </property>
</Properties>
</file>