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8D2" w:rsidRPr="007018D2" w:rsidRDefault="007018D2" w:rsidP="007018D2">
      <w:pPr>
        <w:adjustRightInd w:val="0"/>
        <w:ind w:right="170"/>
        <w:jc w:val="both"/>
        <w:rPr>
          <w:rFonts w:ascii="Arial" w:eastAsiaTheme="minorHAnsi" w:hAnsi="Arial" w:cs="Arial"/>
          <w:b/>
          <w:bCs/>
          <w:color w:val="000000"/>
          <w:kern w:val="16"/>
          <w:sz w:val="20"/>
          <w:szCs w:val="20"/>
          <w:u w:val="single"/>
        </w:rPr>
      </w:pPr>
      <w:r w:rsidRPr="007018D2">
        <w:rPr>
          <w:rFonts w:ascii="Arial" w:eastAsiaTheme="minorHAnsi" w:hAnsi="Arial" w:cs="Arial"/>
          <w:b/>
          <w:bCs/>
          <w:color w:val="000000"/>
          <w:kern w:val="16"/>
          <w:sz w:val="20"/>
          <w:szCs w:val="20"/>
          <w:u w:val="single"/>
        </w:rPr>
        <w:t>Resmi Gazete Dışından Kaynak</w:t>
      </w:r>
    </w:p>
    <w:p w:rsidR="00D42E06" w:rsidRPr="007018D2" w:rsidRDefault="00D42E06" w:rsidP="007018D2">
      <w:pPr>
        <w:adjustRightInd w:val="0"/>
        <w:ind w:right="170"/>
        <w:jc w:val="both"/>
        <w:rPr>
          <w:rFonts w:ascii="Arial" w:eastAsiaTheme="minorHAnsi" w:hAnsi="Arial" w:cs="Arial"/>
          <w:b/>
          <w:bCs/>
          <w:color w:val="000000"/>
          <w:kern w:val="16"/>
          <w:sz w:val="20"/>
          <w:szCs w:val="20"/>
          <w:u w:val="single"/>
        </w:rPr>
      </w:pPr>
      <w:r w:rsidRPr="007018D2">
        <w:rPr>
          <w:rFonts w:ascii="Arial" w:hAnsi="Arial" w:cs="Arial"/>
          <w:b/>
          <w:spacing w:val="-2"/>
          <w:w w:val="105"/>
          <w:sz w:val="20"/>
          <w:szCs w:val="20"/>
          <w:u w:val="thick" w:color="282828"/>
        </w:rPr>
        <w:t>Sigortacılık</w:t>
      </w:r>
      <w:r w:rsidRPr="007018D2">
        <w:rPr>
          <w:rFonts w:ascii="Arial" w:hAnsi="Arial" w:cs="Arial"/>
          <w:b/>
          <w:spacing w:val="2"/>
          <w:w w:val="105"/>
          <w:sz w:val="20"/>
          <w:szCs w:val="20"/>
          <w:u w:val="thick" w:color="282828"/>
        </w:rPr>
        <w:t xml:space="preserve"> </w:t>
      </w:r>
      <w:r w:rsidRPr="007018D2">
        <w:rPr>
          <w:rFonts w:ascii="Arial" w:hAnsi="Arial" w:cs="Arial"/>
          <w:b/>
          <w:spacing w:val="-2"/>
          <w:w w:val="105"/>
          <w:sz w:val="20"/>
          <w:szCs w:val="20"/>
          <w:u w:val="thick" w:color="282828"/>
        </w:rPr>
        <w:t>ve</w:t>
      </w:r>
      <w:r w:rsidRPr="007018D2">
        <w:rPr>
          <w:rFonts w:ascii="Arial" w:hAnsi="Arial" w:cs="Arial"/>
          <w:b/>
          <w:spacing w:val="-13"/>
          <w:w w:val="105"/>
          <w:sz w:val="20"/>
          <w:szCs w:val="20"/>
          <w:u w:val="thick" w:color="282828"/>
        </w:rPr>
        <w:t xml:space="preserve"> </w:t>
      </w:r>
      <w:r w:rsidRPr="007018D2">
        <w:rPr>
          <w:rFonts w:ascii="Arial" w:hAnsi="Arial" w:cs="Arial"/>
          <w:b/>
          <w:spacing w:val="-2"/>
          <w:w w:val="105"/>
          <w:sz w:val="20"/>
          <w:szCs w:val="20"/>
          <w:u w:val="thick" w:color="282828"/>
        </w:rPr>
        <w:t>Özel</w:t>
      </w:r>
      <w:r w:rsidRPr="007018D2">
        <w:rPr>
          <w:rFonts w:ascii="Arial" w:hAnsi="Arial" w:cs="Arial"/>
          <w:b/>
          <w:spacing w:val="2"/>
          <w:w w:val="105"/>
          <w:sz w:val="20"/>
          <w:szCs w:val="20"/>
          <w:u w:val="thick" w:color="282828"/>
        </w:rPr>
        <w:t xml:space="preserve"> </w:t>
      </w:r>
      <w:r w:rsidRPr="007018D2">
        <w:rPr>
          <w:rFonts w:ascii="Arial" w:hAnsi="Arial" w:cs="Arial"/>
          <w:b/>
          <w:spacing w:val="-2"/>
          <w:w w:val="105"/>
          <w:sz w:val="20"/>
          <w:szCs w:val="20"/>
          <w:u w:val="thick" w:color="282828"/>
        </w:rPr>
        <w:t>Emeklilik</w:t>
      </w:r>
      <w:r w:rsidRPr="007018D2">
        <w:rPr>
          <w:rFonts w:ascii="Arial" w:hAnsi="Arial" w:cs="Arial"/>
          <w:b/>
          <w:spacing w:val="3"/>
          <w:w w:val="105"/>
          <w:sz w:val="20"/>
          <w:szCs w:val="20"/>
          <w:u w:val="thick" w:color="282828"/>
        </w:rPr>
        <w:t xml:space="preserve"> </w:t>
      </w:r>
      <w:r w:rsidRPr="007018D2">
        <w:rPr>
          <w:rFonts w:ascii="Arial" w:hAnsi="Arial" w:cs="Arial"/>
          <w:b/>
          <w:spacing w:val="-2"/>
          <w:w w:val="105"/>
          <w:sz w:val="20"/>
          <w:szCs w:val="20"/>
          <w:u w:val="thick" w:color="282828"/>
        </w:rPr>
        <w:t>Düzenleme</w:t>
      </w:r>
      <w:r w:rsidRPr="007018D2">
        <w:rPr>
          <w:rFonts w:ascii="Arial" w:hAnsi="Arial" w:cs="Arial"/>
          <w:b/>
          <w:spacing w:val="6"/>
          <w:w w:val="105"/>
          <w:sz w:val="20"/>
          <w:szCs w:val="20"/>
          <w:u w:val="thick" w:color="282828"/>
        </w:rPr>
        <w:t xml:space="preserve"> </w:t>
      </w:r>
      <w:r w:rsidRPr="007018D2">
        <w:rPr>
          <w:rFonts w:ascii="Arial" w:hAnsi="Arial" w:cs="Arial"/>
          <w:b/>
          <w:spacing w:val="-2"/>
          <w:w w:val="105"/>
          <w:sz w:val="20"/>
          <w:szCs w:val="20"/>
          <w:u w:val="thick" w:color="282828"/>
        </w:rPr>
        <w:t>ve</w:t>
      </w:r>
      <w:r w:rsidRPr="007018D2">
        <w:rPr>
          <w:rFonts w:ascii="Arial" w:hAnsi="Arial" w:cs="Arial"/>
          <w:b/>
          <w:spacing w:val="-8"/>
          <w:w w:val="105"/>
          <w:sz w:val="20"/>
          <w:szCs w:val="20"/>
          <w:u w:val="thick" w:color="282828"/>
        </w:rPr>
        <w:t xml:space="preserve"> </w:t>
      </w:r>
      <w:r w:rsidRPr="007018D2">
        <w:rPr>
          <w:rFonts w:ascii="Arial" w:hAnsi="Arial" w:cs="Arial"/>
          <w:b/>
          <w:spacing w:val="-2"/>
          <w:w w:val="105"/>
          <w:sz w:val="20"/>
          <w:szCs w:val="20"/>
          <w:u w:val="thick" w:color="282828"/>
        </w:rPr>
        <w:t>Denetleme</w:t>
      </w:r>
      <w:r w:rsidRPr="007018D2">
        <w:rPr>
          <w:rFonts w:ascii="Arial" w:hAnsi="Arial" w:cs="Arial"/>
          <w:b/>
          <w:spacing w:val="3"/>
          <w:w w:val="105"/>
          <w:sz w:val="20"/>
          <w:szCs w:val="20"/>
          <w:u w:val="thick" w:color="282828"/>
        </w:rPr>
        <w:t xml:space="preserve"> </w:t>
      </w:r>
      <w:r w:rsidRPr="007018D2">
        <w:rPr>
          <w:rFonts w:ascii="Arial" w:hAnsi="Arial" w:cs="Arial"/>
          <w:b/>
          <w:spacing w:val="-2"/>
          <w:w w:val="105"/>
          <w:sz w:val="20"/>
          <w:szCs w:val="20"/>
          <w:u w:val="thick" w:color="282828"/>
        </w:rPr>
        <w:t>Kurumundan</w:t>
      </w:r>
      <w:r w:rsidR="007018D2" w:rsidRPr="007018D2">
        <w:rPr>
          <w:rFonts w:ascii="Arial" w:hAnsi="Arial" w:cs="Arial"/>
          <w:b/>
          <w:sz w:val="20"/>
          <w:szCs w:val="20"/>
        </w:rPr>
        <w:tab/>
      </w:r>
      <w:r w:rsidR="007018D2">
        <w:rPr>
          <w:rFonts w:ascii="Arial" w:hAnsi="Arial" w:cs="Arial"/>
          <w:sz w:val="20"/>
          <w:szCs w:val="20"/>
        </w:rPr>
        <w:tab/>
      </w:r>
      <w:r w:rsidR="007018D2">
        <w:rPr>
          <w:rFonts w:ascii="Arial" w:hAnsi="Arial" w:cs="Arial"/>
          <w:b/>
          <w:sz w:val="20"/>
          <w:szCs w:val="20"/>
          <w:u w:val="single"/>
        </w:rPr>
        <w:t>13.06.2023</w:t>
      </w:r>
    </w:p>
    <w:p w:rsidR="00D42E06" w:rsidRPr="007018D2" w:rsidRDefault="00D42E06" w:rsidP="007018D2">
      <w:pPr>
        <w:pStyle w:val="GvdeMetni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2E06" w:rsidRPr="007018D2" w:rsidRDefault="00D42E06" w:rsidP="007018D2">
      <w:pPr>
        <w:pStyle w:val="KonuBal"/>
        <w:spacing w:line="276" w:lineRule="auto"/>
        <w:ind w:left="715" w:right="752"/>
        <w:jc w:val="center"/>
        <w:rPr>
          <w:rFonts w:ascii="Arial" w:hAnsi="Arial" w:cs="Arial"/>
          <w:sz w:val="24"/>
          <w:szCs w:val="24"/>
        </w:rPr>
      </w:pPr>
      <w:r w:rsidRPr="007018D2">
        <w:rPr>
          <w:rFonts w:ascii="Arial" w:hAnsi="Arial" w:cs="Arial"/>
          <w:w w:val="105"/>
          <w:sz w:val="24"/>
          <w:szCs w:val="24"/>
        </w:rPr>
        <w:t>SİGORTA</w:t>
      </w:r>
      <w:r w:rsidRPr="007018D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7018D2">
        <w:rPr>
          <w:rFonts w:ascii="Arial" w:hAnsi="Arial" w:cs="Arial"/>
          <w:w w:val="105"/>
          <w:sz w:val="24"/>
          <w:szCs w:val="24"/>
        </w:rPr>
        <w:t>VE</w:t>
      </w:r>
      <w:r w:rsidRPr="007018D2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7018D2">
        <w:rPr>
          <w:rFonts w:ascii="Arial" w:hAnsi="Arial" w:cs="Arial"/>
          <w:w w:val="105"/>
          <w:sz w:val="24"/>
          <w:szCs w:val="24"/>
        </w:rPr>
        <w:t>REASÜRANS</w:t>
      </w:r>
      <w:r w:rsidRPr="007018D2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7018D2">
        <w:rPr>
          <w:rFonts w:ascii="Arial" w:hAnsi="Arial" w:cs="Arial"/>
          <w:w w:val="105"/>
          <w:sz w:val="24"/>
          <w:szCs w:val="24"/>
        </w:rPr>
        <w:t>İLE</w:t>
      </w:r>
      <w:r w:rsidRPr="007018D2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7018D2">
        <w:rPr>
          <w:rFonts w:ascii="Arial" w:hAnsi="Arial" w:cs="Arial"/>
          <w:w w:val="105"/>
          <w:sz w:val="24"/>
          <w:szCs w:val="24"/>
        </w:rPr>
        <w:t>EMEKLİLİK ŞİRKETLERİNİN</w:t>
      </w:r>
      <w:r w:rsidRPr="007018D2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7018D2">
        <w:rPr>
          <w:rFonts w:ascii="Arial" w:hAnsi="Arial" w:cs="Arial"/>
          <w:w w:val="105"/>
          <w:sz w:val="24"/>
          <w:szCs w:val="24"/>
        </w:rPr>
        <w:t>BORSA İSTANBUL'DAN EDİNDİKLERİ</w:t>
      </w:r>
      <w:r w:rsidRPr="007018D2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7018D2">
        <w:rPr>
          <w:rFonts w:ascii="Arial" w:hAnsi="Arial" w:cs="Arial"/>
          <w:w w:val="105"/>
          <w:sz w:val="24"/>
          <w:szCs w:val="24"/>
        </w:rPr>
        <w:t>KENDİ HİSSELERİNİN</w:t>
      </w:r>
      <w:r w:rsidRPr="007018D2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7018D2">
        <w:rPr>
          <w:rFonts w:ascii="Arial" w:hAnsi="Arial" w:cs="Arial"/>
          <w:w w:val="105"/>
          <w:sz w:val="24"/>
          <w:szCs w:val="24"/>
        </w:rPr>
        <w:t xml:space="preserve">SERMAYE YETERLİLİĞİNDE DEĞERLENDİRİLMESİNE İLİŞKİN GENELGE </w:t>
      </w:r>
      <w:r w:rsidRPr="007018D2">
        <w:rPr>
          <w:rFonts w:ascii="Arial" w:hAnsi="Arial" w:cs="Arial"/>
          <w:spacing w:val="-2"/>
          <w:w w:val="105"/>
          <w:sz w:val="24"/>
          <w:szCs w:val="24"/>
        </w:rPr>
        <w:t>(2023/17)</w:t>
      </w:r>
    </w:p>
    <w:p w:rsidR="00D42E06" w:rsidRPr="002B27E4" w:rsidRDefault="00D42E06" w:rsidP="007018D2">
      <w:pPr>
        <w:pStyle w:val="GvdeMetni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42E06" w:rsidRPr="002B27E4" w:rsidRDefault="00D42E06" w:rsidP="007018D2">
      <w:pPr>
        <w:pStyle w:val="GvdeMetni"/>
        <w:spacing w:before="7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42E06" w:rsidRPr="007018D2" w:rsidRDefault="00D42E06" w:rsidP="007018D2">
      <w:pPr>
        <w:widowControl/>
        <w:autoSpaceDE/>
        <w:autoSpaceDN/>
        <w:spacing w:line="276" w:lineRule="auto"/>
        <w:ind w:left="170" w:right="170"/>
        <w:jc w:val="both"/>
        <w:rPr>
          <w:rFonts w:ascii="Arial" w:eastAsiaTheme="minorHAnsi" w:hAnsi="Arial" w:cs="Arial"/>
          <w:color w:val="000000"/>
          <w:kern w:val="16"/>
          <w:sz w:val="20"/>
          <w:szCs w:val="20"/>
        </w:rPr>
      </w:pPr>
      <w:r w:rsidRPr="007018D2">
        <w:rPr>
          <w:rFonts w:ascii="Arial" w:eastAsiaTheme="minorHAnsi" w:hAnsi="Arial" w:cs="Arial"/>
          <w:color w:val="000000"/>
          <w:kern w:val="16"/>
          <w:sz w:val="20"/>
          <w:szCs w:val="20"/>
        </w:rPr>
        <w:t>Bilindiği üzere, 23/8/2015 tarihli ve 29454 sayılı Resmi Gazete' de yayımlanan Sigorta ve Reasürans ile Emeklilik Şirketlerinin Sermaye Yeterliliğine ve Değerlendirilmesine İlişkin Yönetmeliğin (Yönetmelik) 4 üncü maddesinin altıncı fıkrası ile Sigortacılık ve Özel Emeklilik Düzenleme ve Denetleme Kurul 'una sermaye yeterliliğine esas özsermayede indirim kalemi olarak sayılan bilanço kalemlerine istisna getirme yetkisi tanınmaktadır.</w:t>
      </w:r>
    </w:p>
    <w:p w:rsidR="00D42E06" w:rsidRPr="007018D2" w:rsidRDefault="00D42E06" w:rsidP="007018D2">
      <w:pPr>
        <w:widowControl/>
        <w:autoSpaceDE/>
        <w:autoSpaceDN/>
        <w:spacing w:line="276" w:lineRule="auto"/>
        <w:ind w:left="170" w:right="170"/>
        <w:jc w:val="both"/>
        <w:rPr>
          <w:rFonts w:ascii="Arial" w:eastAsiaTheme="minorHAnsi" w:hAnsi="Arial" w:cs="Arial"/>
          <w:color w:val="000000"/>
          <w:kern w:val="16"/>
          <w:sz w:val="20"/>
          <w:szCs w:val="20"/>
        </w:rPr>
      </w:pPr>
    </w:p>
    <w:p w:rsidR="00D42E06" w:rsidRPr="007018D2" w:rsidRDefault="00D42E06" w:rsidP="007018D2">
      <w:pPr>
        <w:widowControl/>
        <w:autoSpaceDE/>
        <w:autoSpaceDN/>
        <w:spacing w:line="276" w:lineRule="auto"/>
        <w:ind w:left="170" w:right="170"/>
        <w:jc w:val="both"/>
        <w:rPr>
          <w:rFonts w:ascii="Arial" w:eastAsiaTheme="minorHAnsi" w:hAnsi="Arial" w:cs="Arial"/>
          <w:color w:val="000000"/>
          <w:kern w:val="16"/>
          <w:sz w:val="20"/>
          <w:szCs w:val="20"/>
        </w:rPr>
      </w:pPr>
      <w:r w:rsidRPr="007018D2">
        <w:rPr>
          <w:rFonts w:ascii="Arial" w:eastAsiaTheme="minorHAnsi" w:hAnsi="Arial" w:cs="Arial"/>
          <w:b/>
          <w:color w:val="000000"/>
          <w:kern w:val="16"/>
          <w:sz w:val="20"/>
          <w:szCs w:val="20"/>
        </w:rPr>
        <w:t>Madde 1-</w:t>
      </w:r>
      <w:r w:rsidRPr="007018D2">
        <w:rPr>
          <w:rFonts w:ascii="Arial" w:eastAsiaTheme="minorHAnsi" w:hAnsi="Arial" w:cs="Arial"/>
          <w:color w:val="000000"/>
          <w:kern w:val="16"/>
          <w:sz w:val="20"/>
          <w:szCs w:val="20"/>
        </w:rPr>
        <w:t xml:space="preserve"> Bu çerçevede, payları Borsa İstanbul A.Ş. Pay Piyasası'nda işlem gören halka açık şirketlerin 06/02/2023 tarihinden 01/01/2024 tarihine kadar bu piyasada geri alım yoluyla edindikleri kendi hisse senetleri Yönetmeliğin 4 üncü maddesinin beşinci fıkrası çerçevesinde yapılan özsermaye hesabında indirim kalemi olarak dikkate alınmaz.</w:t>
      </w:r>
    </w:p>
    <w:p w:rsidR="00D42E06" w:rsidRPr="007018D2" w:rsidRDefault="00D42E06" w:rsidP="007018D2">
      <w:pPr>
        <w:widowControl/>
        <w:autoSpaceDE/>
        <w:autoSpaceDN/>
        <w:spacing w:line="276" w:lineRule="auto"/>
        <w:ind w:left="170" w:right="170"/>
        <w:jc w:val="both"/>
        <w:rPr>
          <w:rFonts w:ascii="Arial" w:eastAsiaTheme="minorHAnsi" w:hAnsi="Arial" w:cs="Arial"/>
          <w:color w:val="000000"/>
          <w:kern w:val="16"/>
          <w:sz w:val="20"/>
          <w:szCs w:val="20"/>
        </w:rPr>
      </w:pPr>
    </w:p>
    <w:p w:rsidR="00D42E06" w:rsidRPr="007018D2" w:rsidRDefault="00D42E06" w:rsidP="007018D2">
      <w:pPr>
        <w:widowControl/>
        <w:autoSpaceDE/>
        <w:autoSpaceDN/>
        <w:spacing w:line="276" w:lineRule="auto"/>
        <w:ind w:left="170" w:right="170"/>
        <w:jc w:val="both"/>
        <w:rPr>
          <w:rFonts w:ascii="Arial" w:eastAsiaTheme="minorHAnsi" w:hAnsi="Arial" w:cs="Arial"/>
          <w:color w:val="000000"/>
          <w:kern w:val="16"/>
          <w:sz w:val="20"/>
          <w:szCs w:val="20"/>
        </w:rPr>
      </w:pPr>
      <w:r w:rsidRPr="007018D2">
        <w:rPr>
          <w:rFonts w:ascii="Arial" w:eastAsiaTheme="minorHAnsi" w:hAnsi="Arial" w:cs="Arial"/>
          <w:b/>
          <w:color w:val="000000"/>
          <w:kern w:val="16"/>
          <w:sz w:val="20"/>
          <w:szCs w:val="20"/>
        </w:rPr>
        <w:t>Madde 2-</w:t>
      </w:r>
      <w:r w:rsidRPr="007018D2">
        <w:rPr>
          <w:rFonts w:ascii="Arial" w:eastAsiaTheme="minorHAnsi" w:hAnsi="Arial" w:cs="Arial"/>
          <w:color w:val="000000"/>
          <w:kern w:val="16"/>
          <w:sz w:val="20"/>
          <w:szCs w:val="20"/>
        </w:rPr>
        <w:t xml:space="preserve"> Bu Genelge yayımı tarihinde yürürlüğe girer.</w:t>
      </w:r>
    </w:p>
    <w:p w:rsidR="00D42E06" w:rsidRPr="007018D2" w:rsidRDefault="00D42E06" w:rsidP="007018D2">
      <w:pPr>
        <w:widowControl/>
        <w:autoSpaceDE/>
        <w:autoSpaceDN/>
        <w:spacing w:line="276" w:lineRule="auto"/>
        <w:ind w:left="170" w:right="170"/>
        <w:jc w:val="both"/>
        <w:rPr>
          <w:rFonts w:ascii="Arial" w:eastAsiaTheme="minorHAnsi" w:hAnsi="Arial" w:cs="Arial"/>
          <w:color w:val="000000"/>
          <w:kern w:val="16"/>
          <w:sz w:val="20"/>
          <w:szCs w:val="20"/>
        </w:rPr>
      </w:pPr>
    </w:p>
    <w:p w:rsidR="00D42E06" w:rsidRPr="007018D2" w:rsidRDefault="00D42E06" w:rsidP="007018D2">
      <w:pPr>
        <w:widowControl/>
        <w:autoSpaceDE/>
        <w:autoSpaceDN/>
        <w:spacing w:line="276" w:lineRule="auto"/>
        <w:ind w:left="170" w:right="170"/>
        <w:jc w:val="both"/>
        <w:rPr>
          <w:rFonts w:ascii="Arial" w:eastAsiaTheme="minorHAnsi" w:hAnsi="Arial" w:cs="Arial"/>
          <w:color w:val="000000"/>
          <w:kern w:val="16"/>
          <w:sz w:val="20"/>
          <w:szCs w:val="20"/>
        </w:rPr>
      </w:pPr>
      <w:r w:rsidRPr="007018D2">
        <w:rPr>
          <w:rFonts w:ascii="Arial" w:eastAsiaTheme="minorHAnsi" w:hAnsi="Arial" w:cs="Arial"/>
          <w:b/>
          <w:color w:val="000000"/>
          <w:kern w:val="16"/>
          <w:sz w:val="20"/>
          <w:szCs w:val="20"/>
        </w:rPr>
        <w:t>Madde 3-</w:t>
      </w:r>
      <w:r w:rsidRPr="007018D2">
        <w:rPr>
          <w:rFonts w:ascii="Arial" w:eastAsiaTheme="minorHAnsi" w:hAnsi="Arial" w:cs="Arial"/>
          <w:color w:val="000000"/>
          <w:kern w:val="16"/>
          <w:sz w:val="20"/>
          <w:szCs w:val="20"/>
        </w:rPr>
        <w:t xml:space="preserve"> Bu Genelge hükümlerini Sigortacılık ve Özel Emeklilik Düzenleme ve Denetleme Kurumu Başkanı yürütür.</w:t>
      </w:r>
    </w:p>
    <w:p w:rsidR="00D42E06" w:rsidRPr="002B27E4" w:rsidRDefault="00D42E06" w:rsidP="00D42E06"/>
    <w:p w:rsidR="00DE7B44" w:rsidRDefault="00DE7B44" w:rsidP="00D42E06">
      <w:pPr>
        <w:rPr>
          <w:rFonts w:ascii="Arial" w:hAnsi="Arial" w:cs="Arial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074"/>
        <w:gridCol w:w="3075"/>
        <w:gridCol w:w="3075"/>
      </w:tblGrid>
      <w:tr w:rsidR="007018D2" w:rsidRPr="001D7EEF" w:rsidTr="00796A18">
        <w:tc>
          <w:tcPr>
            <w:tcW w:w="9224" w:type="dxa"/>
            <w:gridSpan w:val="3"/>
          </w:tcPr>
          <w:p w:rsidR="007018D2" w:rsidRPr="003353EB" w:rsidRDefault="007018D2" w:rsidP="00796A18">
            <w:pPr>
              <w:jc w:val="center"/>
              <w:rPr>
                <w:rFonts w:ascii="Arial" w:hAnsi="Arial" w:cs="Arial"/>
                <w:b/>
              </w:rPr>
            </w:pPr>
            <w:r w:rsidRPr="003353EB">
              <w:rPr>
                <w:rFonts w:ascii="Arial" w:hAnsi="Arial" w:cs="Arial"/>
                <w:b/>
              </w:rPr>
              <w:t>Genelge’nin</w:t>
            </w:r>
          </w:p>
        </w:tc>
      </w:tr>
      <w:tr w:rsidR="007018D2" w:rsidRPr="001D7EEF" w:rsidTr="00796A18">
        <w:tc>
          <w:tcPr>
            <w:tcW w:w="3074" w:type="dxa"/>
          </w:tcPr>
          <w:p w:rsidR="007018D2" w:rsidRPr="003353EB" w:rsidRDefault="007018D2" w:rsidP="00796A18">
            <w:pPr>
              <w:jc w:val="center"/>
              <w:rPr>
                <w:rFonts w:ascii="Arial" w:hAnsi="Arial" w:cs="Arial"/>
                <w:b/>
              </w:rPr>
            </w:pPr>
            <w:r w:rsidRPr="003353EB">
              <w:rPr>
                <w:rFonts w:ascii="Arial" w:hAnsi="Arial" w:cs="Arial"/>
                <w:b/>
              </w:rPr>
              <w:t>Numarası</w:t>
            </w:r>
          </w:p>
        </w:tc>
        <w:tc>
          <w:tcPr>
            <w:tcW w:w="3075" w:type="dxa"/>
          </w:tcPr>
          <w:p w:rsidR="007018D2" w:rsidRPr="003353EB" w:rsidRDefault="007018D2" w:rsidP="00796A18">
            <w:pPr>
              <w:jc w:val="center"/>
              <w:rPr>
                <w:rFonts w:ascii="Arial" w:hAnsi="Arial" w:cs="Arial"/>
                <w:b/>
              </w:rPr>
            </w:pPr>
            <w:r w:rsidRPr="003353EB">
              <w:rPr>
                <w:rFonts w:ascii="Arial" w:hAnsi="Arial" w:cs="Arial"/>
                <w:b/>
              </w:rPr>
              <w:t>Kabul Tarihi</w:t>
            </w:r>
          </w:p>
        </w:tc>
        <w:tc>
          <w:tcPr>
            <w:tcW w:w="3075" w:type="dxa"/>
          </w:tcPr>
          <w:p w:rsidR="007018D2" w:rsidRPr="003353EB" w:rsidRDefault="007018D2" w:rsidP="00796A18">
            <w:pPr>
              <w:jc w:val="center"/>
              <w:rPr>
                <w:rFonts w:ascii="Arial" w:hAnsi="Arial" w:cs="Arial"/>
                <w:b/>
              </w:rPr>
            </w:pPr>
            <w:r w:rsidRPr="003353EB">
              <w:rPr>
                <w:rFonts w:ascii="Arial" w:hAnsi="Arial" w:cs="Arial"/>
                <w:b/>
              </w:rPr>
              <w:t>Yürürlüğe Giriş Tarihi</w:t>
            </w:r>
          </w:p>
        </w:tc>
      </w:tr>
      <w:tr w:rsidR="007018D2" w:rsidTr="00796A18">
        <w:tc>
          <w:tcPr>
            <w:tcW w:w="3074" w:type="dxa"/>
          </w:tcPr>
          <w:p w:rsidR="007018D2" w:rsidRPr="003353EB" w:rsidRDefault="007018D2" w:rsidP="00796A18">
            <w:pPr>
              <w:jc w:val="center"/>
              <w:rPr>
                <w:rFonts w:ascii="Arial" w:hAnsi="Arial" w:cs="Arial"/>
              </w:rPr>
            </w:pPr>
            <w:r w:rsidRPr="003353EB">
              <w:rPr>
                <w:rFonts w:ascii="Arial" w:hAnsi="Arial" w:cs="Arial"/>
              </w:rPr>
              <w:t>2023/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075" w:type="dxa"/>
          </w:tcPr>
          <w:p w:rsidR="007018D2" w:rsidRPr="003353EB" w:rsidRDefault="007018D2" w:rsidP="00796A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.2023</w:t>
            </w:r>
          </w:p>
        </w:tc>
        <w:tc>
          <w:tcPr>
            <w:tcW w:w="3075" w:type="dxa"/>
          </w:tcPr>
          <w:p w:rsidR="007018D2" w:rsidRPr="003353EB" w:rsidRDefault="007018D2" w:rsidP="00796A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.2023</w:t>
            </w:r>
          </w:p>
        </w:tc>
      </w:tr>
    </w:tbl>
    <w:p w:rsidR="007018D2" w:rsidRPr="002B27E4" w:rsidRDefault="007018D2" w:rsidP="00D42E06">
      <w:pPr>
        <w:rPr>
          <w:rFonts w:ascii="Arial" w:hAnsi="Arial" w:cs="Arial"/>
        </w:rPr>
      </w:pPr>
      <w:bookmarkStart w:id="0" w:name="_GoBack"/>
      <w:bookmarkEnd w:id="0"/>
    </w:p>
    <w:sectPr w:rsidR="007018D2" w:rsidRPr="002B2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440" w:right="124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15D" w:rsidRDefault="004A415D" w:rsidP="0037231D">
      <w:r>
        <w:separator/>
      </w:r>
    </w:p>
  </w:endnote>
  <w:endnote w:type="continuationSeparator" w:id="0">
    <w:p w:rsidR="004A415D" w:rsidRDefault="004A415D" w:rsidP="0037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1D" w:rsidRPr="007018D2" w:rsidRDefault="007018D2" w:rsidP="007018D2">
    <w:pPr>
      <w:pStyle w:val="AltBilgi"/>
    </w:pPr>
    <w:r>
      <w:rPr>
        <w:rStyle w:val="document-info-data"/>
        <w:sz w:val="20"/>
      </w:rPr>
      <w:fldChar w:fldCharType="begin" w:fldLock="1"/>
    </w:r>
    <w:r>
      <w:rPr>
        <w:rStyle w:val="document-info-data"/>
        <w:sz w:val="20"/>
      </w:rPr>
      <w:instrText xml:space="preserve"> DOCPROPERTY bjFooterEvenPageDocProperty \* MERGEFORMAT </w:instrText>
    </w:r>
    <w:r>
      <w:rPr>
        <w:rStyle w:val="document-info-data"/>
        <w:sz w:val="20"/>
      </w:rPr>
      <w:fldChar w:fldCharType="separate"/>
    </w:r>
    <w:r w:rsidRPr="008801F2">
      <w:rPr>
        <w:rStyle w:val="document-info-data"/>
        <w:rFonts w:ascii="Malgun Gothic" w:eastAsia="Malgun Gothic" w:hAnsi="Malgun Gothic"/>
        <w:color w:val="999999"/>
        <w:sz w:val="20"/>
      </w:rPr>
      <w:t>Sınıflandırma|</w:t>
    </w:r>
    <w:r w:rsidRPr="008801F2">
      <w:rPr>
        <w:rStyle w:val="document-info-data"/>
        <w:rFonts w:ascii="Malgun Gothic" w:eastAsia="Malgun Gothic" w:hAnsi="Malgun Gothic"/>
        <w:color w:val="339966"/>
        <w:sz w:val="20"/>
      </w:rPr>
      <w:t>Genel</w:t>
    </w:r>
    <w:r>
      <w:rPr>
        <w:rStyle w:val="document-info-dat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1D" w:rsidRPr="007018D2" w:rsidRDefault="007018D2" w:rsidP="007018D2">
    <w:pPr>
      <w:pStyle w:val="AltBilgi"/>
    </w:pPr>
    <w:r>
      <w:rPr>
        <w:rStyle w:val="document-info-data"/>
        <w:sz w:val="20"/>
      </w:rPr>
      <w:fldChar w:fldCharType="begin" w:fldLock="1"/>
    </w:r>
    <w:r>
      <w:rPr>
        <w:rStyle w:val="document-info-data"/>
        <w:sz w:val="20"/>
      </w:rPr>
      <w:instrText xml:space="preserve"> DOCPROPERTY bjFooterBothDocProperty \* MERGEFORMAT </w:instrText>
    </w:r>
    <w:r>
      <w:rPr>
        <w:rStyle w:val="document-info-data"/>
        <w:sz w:val="20"/>
      </w:rPr>
      <w:fldChar w:fldCharType="separate"/>
    </w:r>
    <w:r w:rsidRPr="008801F2">
      <w:rPr>
        <w:rStyle w:val="document-info-data"/>
        <w:rFonts w:ascii="Malgun Gothic" w:eastAsia="Malgun Gothic" w:hAnsi="Malgun Gothic"/>
        <w:color w:val="999999"/>
        <w:sz w:val="20"/>
      </w:rPr>
      <w:t>Sınıflandırma|</w:t>
    </w:r>
    <w:r w:rsidRPr="008801F2">
      <w:rPr>
        <w:rStyle w:val="document-info-data"/>
        <w:rFonts w:ascii="Malgun Gothic" w:eastAsia="Malgun Gothic" w:hAnsi="Malgun Gothic"/>
        <w:color w:val="339966"/>
        <w:sz w:val="20"/>
      </w:rPr>
      <w:t>Genel</w:t>
    </w:r>
    <w:r>
      <w:rPr>
        <w:rStyle w:val="document-info-dat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1D" w:rsidRPr="007018D2" w:rsidRDefault="007018D2" w:rsidP="007018D2">
    <w:pPr>
      <w:pStyle w:val="AltBilgi"/>
    </w:pPr>
    <w:r>
      <w:rPr>
        <w:rStyle w:val="document-info-data"/>
        <w:sz w:val="20"/>
      </w:rPr>
      <w:fldChar w:fldCharType="begin" w:fldLock="1"/>
    </w:r>
    <w:r>
      <w:rPr>
        <w:rStyle w:val="document-info-data"/>
        <w:sz w:val="20"/>
      </w:rPr>
      <w:instrText xml:space="preserve"> DOCPROPERTY bjFooterFirstPageDocProperty \* MERGEFORMAT </w:instrText>
    </w:r>
    <w:r>
      <w:rPr>
        <w:rStyle w:val="document-info-data"/>
        <w:sz w:val="20"/>
      </w:rPr>
      <w:fldChar w:fldCharType="separate"/>
    </w:r>
    <w:r w:rsidRPr="008801F2">
      <w:rPr>
        <w:rStyle w:val="document-info-data"/>
        <w:rFonts w:ascii="Malgun Gothic" w:eastAsia="Malgun Gothic" w:hAnsi="Malgun Gothic"/>
        <w:color w:val="999999"/>
        <w:sz w:val="20"/>
      </w:rPr>
      <w:t>Sınıflandırma|</w:t>
    </w:r>
    <w:r w:rsidRPr="008801F2">
      <w:rPr>
        <w:rStyle w:val="document-info-data"/>
        <w:rFonts w:ascii="Malgun Gothic" w:eastAsia="Malgun Gothic" w:hAnsi="Malgun Gothic"/>
        <w:color w:val="339966"/>
        <w:sz w:val="20"/>
      </w:rPr>
      <w:t>Genel</w:t>
    </w:r>
    <w:r>
      <w:rPr>
        <w:rStyle w:val="document-info-dat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15D" w:rsidRDefault="004A415D" w:rsidP="0037231D">
      <w:r>
        <w:separator/>
      </w:r>
    </w:p>
  </w:footnote>
  <w:footnote w:type="continuationSeparator" w:id="0">
    <w:p w:rsidR="004A415D" w:rsidRDefault="004A415D" w:rsidP="0037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1D" w:rsidRDefault="003723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1D" w:rsidRDefault="0037231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1D" w:rsidRDefault="003723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44"/>
    <w:rsid w:val="0007776D"/>
    <w:rsid w:val="0009739A"/>
    <w:rsid w:val="002B27E4"/>
    <w:rsid w:val="0037231D"/>
    <w:rsid w:val="003B1C43"/>
    <w:rsid w:val="004A415D"/>
    <w:rsid w:val="005A50D4"/>
    <w:rsid w:val="007018D2"/>
    <w:rsid w:val="00CA0A80"/>
    <w:rsid w:val="00D42E06"/>
    <w:rsid w:val="00DE7B44"/>
    <w:rsid w:val="00E2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CDD61"/>
  <w15:docId w15:val="{90EA59E2-A87B-43FF-B758-C564B666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3"/>
      <w:szCs w:val="23"/>
    </w:rPr>
  </w:style>
  <w:style w:type="paragraph" w:styleId="KonuBal">
    <w:name w:val="Title"/>
    <w:basedOn w:val="Normal"/>
    <w:link w:val="KonuBalChar"/>
    <w:uiPriority w:val="10"/>
    <w:qFormat/>
    <w:pPr>
      <w:ind w:left="103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723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231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723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231D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42E06"/>
    <w:rPr>
      <w:rFonts w:ascii="Times New Roman" w:eastAsia="Times New Roman" w:hAnsi="Times New Roman" w:cs="Times New Roman"/>
      <w:sz w:val="23"/>
      <w:szCs w:val="23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2E06"/>
    <w:rPr>
      <w:rFonts w:ascii="Times New Roman" w:eastAsia="Times New Roman" w:hAnsi="Times New Roman" w:cs="Times New Roman"/>
      <w:b/>
      <w:bCs/>
      <w:sz w:val="23"/>
      <w:szCs w:val="23"/>
      <w:lang w:val="tr-TR"/>
    </w:rPr>
  </w:style>
  <w:style w:type="character" w:styleId="Kpr">
    <w:name w:val="Hyperlink"/>
    <w:basedOn w:val="VarsaylanParagrafYazTipi"/>
    <w:uiPriority w:val="99"/>
    <w:unhideWhenUsed/>
    <w:rsid w:val="00D42E06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018D2"/>
    <w:pPr>
      <w:widowControl/>
      <w:autoSpaceDE/>
      <w:autoSpaceDN/>
      <w:jc w:val="both"/>
    </w:pPr>
    <w:rPr>
      <w:rFonts w:ascii="Times New Roman" w:eastAsia="Times New Roman" w:hAnsi="Times New Roman" w:cs="Times New Roman"/>
      <w:color w:val="000000"/>
      <w:kern w:val="16"/>
      <w:sz w:val="20"/>
      <w:szCs w:val="20"/>
      <w:lang w:val="tr-TR"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ment-info-data">
    <w:name w:val="document-info-data"/>
    <w:rsid w:val="00701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FC9EA823-4997-44AE-BC6B-B26FF8709B0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Emeklilik Gozetim Merkezi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 SAKAOĞLU</dc:creator>
  <cp:lastModifiedBy>Bahattin ÖZKAN</cp:lastModifiedBy>
  <cp:revision>4</cp:revision>
  <dcterms:created xsi:type="dcterms:W3CDTF">2023-06-20T13:17:00Z</dcterms:created>
  <dcterms:modified xsi:type="dcterms:W3CDTF">2023-08-08T14:18:00Z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2023-06-20T00:00:00Z</vt:filetime>
  </property>
  <property fmtid="{D5CDD505-2E9C-101B-9397-08002B2CF9AE}" pid="6" name="docIndexRef">
    <vt:lpwstr>09bcc621-2cfe-4cd7-a281-666589f03543</vt:lpwstr>
  </property>
  <property fmtid="{D5CDD505-2E9C-101B-9397-08002B2CF9AE}" pid="7" name="bjSaver">
    <vt:lpwstr>HLvm0QIY5oOAk++36evuxaw38xTdytxi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9" name="bjDocumentLabelXML-0">
    <vt:lpwstr>ames.com/2008/01/sie/internal/label"&gt;&lt;element uid="16f479a6-fc80-474c-ab11-d67f073bb2c9" value="" /&gt;&lt;/sisl&gt;</vt:lpwstr>
  </property>
  <property fmtid="{D5CDD505-2E9C-101B-9397-08002B2CF9AE}" pid="10" name="bjDocumentSecurityLabel">
    <vt:lpwstr>Bu iletinin sınıflandırması Genel</vt:lpwstr>
  </property>
  <property fmtid="{D5CDD505-2E9C-101B-9397-08002B2CF9AE}" pid="11" name="bjClsUserRVM">
    <vt:lpwstr>[]</vt:lpwstr>
  </property>
  <property fmtid="{D5CDD505-2E9C-101B-9397-08002B2CF9AE}" pid="12" name="bjFooterBothDocProperty">
    <vt:lpwstr>Sınıflandırma|Genel</vt:lpwstr>
  </property>
  <property fmtid="{D5CDD505-2E9C-101B-9397-08002B2CF9AE}" pid="13" name="bjFooterFirstPageDocProperty">
    <vt:lpwstr>Sınıflandırma|Genel</vt:lpwstr>
  </property>
  <property fmtid="{D5CDD505-2E9C-101B-9397-08002B2CF9AE}" pid="14" name="bjFooterEvenPageDocProperty">
    <vt:lpwstr>Sınıflandırma|Genel</vt:lpwstr>
  </property>
</Properties>
</file>