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C50" w:rsidRDefault="00BA396E" w:rsidP="002B3C50">
      <w:pPr>
        <w:tabs>
          <w:tab w:val="left" w:pos="566"/>
        </w:tabs>
        <w:spacing w:after="0" w:line="240" w:lineRule="auto"/>
        <w:rPr>
          <w:rFonts w:ascii="Arial" w:hAnsi="Arial" w:cs="Arial"/>
          <w:b/>
          <w:sz w:val="20"/>
          <w:szCs w:val="20"/>
          <w:u w:val="single"/>
        </w:rPr>
      </w:pPr>
      <w:r w:rsidRPr="00FC6D9D">
        <w:rPr>
          <w:rFonts w:ascii="Arial" w:hAnsi="Arial" w:cs="Arial"/>
          <w:b/>
          <w:sz w:val="20"/>
          <w:szCs w:val="20"/>
          <w:u w:val="single"/>
        </w:rPr>
        <w:t>Başbakanlık (Hazine Müsteşarlığı)’tan:</w:t>
      </w:r>
    </w:p>
    <w:p w:rsidR="002B3C50" w:rsidRPr="002B3C50" w:rsidRDefault="002B3C50" w:rsidP="002B3C50">
      <w:pPr>
        <w:tabs>
          <w:tab w:val="left" w:pos="566"/>
        </w:tabs>
        <w:spacing w:after="0" w:line="240" w:lineRule="auto"/>
        <w:rPr>
          <w:rFonts w:ascii="Arial" w:hAnsi="Arial" w:cs="Arial"/>
          <w:b/>
          <w:sz w:val="20"/>
          <w:szCs w:val="20"/>
          <w:u w:val="single"/>
        </w:rPr>
      </w:pPr>
    </w:p>
    <w:p w:rsidR="00BA396E" w:rsidRPr="00FC6D9D" w:rsidRDefault="00BA396E" w:rsidP="002B3C50">
      <w:pPr>
        <w:pStyle w:val="Balk2"/>
        <w:spacing w:before="0" w:line="276" w:lineRule="auto"/>
        <w:jc w:val="center"/>
        <w:rPr>
          <w:rFonts w:ascii="Arial" w:hAnsi="Arial" w:cs="Arial"/>
          <w:b/>
          <w:color w:val="auto"/>
          <w:sz w:val="24"/>
          <w:szCs w:val="24"/>
        </w:rPr>
      </w:pPr>
      <w:bookmarkStart w:id="0" w:name="_Toc10203371"/>
      <w:bookmarkStart w:id="1" w:name="_Toc105418626"/>
      <w:r w:rsidRPr="00FC6D9D">
        <w:rPr>
          <w:rFonts w:ascii="Arial" w:hAnsi="Arial" w:cs="Arial"/>
          <w:b/>
          <w:color w:val="auto"/>
          <w:sz w:val="24"/>
          <w:szCs w:val="24"/>
        </w:rPr>
        <w:t>SİGORTA VE REASÜRANS İLE EMEKLİLİK ŞİRKETLERİNİN TEKNİK KARŞILIKLARININ YATIRILACAĞI YABANCI VARLIKLARA İLİŞKİN TEBLİĞ</w:t>
      </w:r>
      <w:bookmarkEnd w:id="0"/>
      <w:bookmarkEnd w:id="1"/>
    </w:p>
    <w:p w:rsidR="00BA396E" w:rsidRDefault="00BA396E" w:rsidP="002B3C50">
      <w:pPr>
        <w:spacing w:after="0" w:line="276" w:lineRule="auto"/>
        <w:jc w:val="center"/>
        <w:rPr>
          <w:rFonts w:ascii="Arial" w:hAnsi="Arial" w:cs="Arial"/>
          <w:b/>
          <w:sz w:val="20"/>
          <w:szCs w:val="20"/>
        </w:rPr>
      </w:pPr>
    </w:p>
    <w:p w:rsidR="002B3C50" w:rsidRPr="00DA063C" w:rsidRDefault="002B3C50" w:rsidP="002B3C50">
      <w:pPr>
        <w:spacing w:after="0" w:line="276" w:lineRule="auto"/>
        <w:jc w:val="center"/>
        <w:rPr>
          <w:rFonts w:ascii="Arial" w:hAnsi="Arial" w:cs="Arial"/>
          <w:b/>
          <w:sz w:val="20"/>
          <w:szCs w:val="20"/>
        </w:rPr>
      </w:pPr>
    </w:p>
    <w:p w:rsidR="00BA396E" w:rsidRPr="00DA063C" w:rsidRDefault="00BA396E" w:rsidP="002B3C50">
      <w:pPr>
        <w:spacing w:after="0" w:line="276" w:lineRule="auto"/>
        <w:jc w:val="center"/>
        <w:rPr>
          <w:rFonts w:ascii="Arial" w:hAnsi="Arial" w:cs="Arial"/>
          <w:b/>
          <w:sz w:val="20"/>
          <w:szCs w:val="20"/>
        </w:rPr>
      </w:pPr>
      <w:r w:rsidRPr="00DA063C">
        <w:rPr>
          <w:rFonts w:ascii="Arial" w:hAnsi="Arial" w:cs="Arial"/>
          <w:b/>
          <w:sz w:val="20"/>
          <w:szCs w:val="20"/>
        </w:rPr>
        <w:t>BİRİNCİ BÖLÜM</w:t>
      </w:r>
    </w:p>
    <w:p w:rsidR="00BA396E" w:rsidRDefault="00BA396E" w:rsidP="002B3C50">
      <w:pPr>
        <w:spacing w:after="0" w:line="276" w:lineRule="auto"/>
        <w:jc w:val="center"/>
        <w:rPr>
          <w:rFonts w:ascii="Arial" w:hAnsi="Arial" w:cs="Arial"/>
          <w:b/>
          <w:sz w:val="20"/>
          <w:szCs w:val="20"/>
        </w:rPr>
      </w:pPr>
      <w:r w:rsidRPr="00DA063C">
        <w:rPr>
          <w:rFonts w:ascii="Arial" w:hAnsi="Arial" w:cs="Arial"/>
          <w:b/>
          <w:sz w:val="20"/>
          <w:szCs w:val="20"/>
        </w:rPr>
        <w:t>Amaç, Kapsam ve Genel Hükümler</w:t>
      </w:r>
    </w:p>
    <w:p w:rsidR="002B3C50" w:rsidRPr="00DA063C" w:rsidRDefault="002B3C50" w:rsidP="002B3C50">
      <w:pPr>
        <w:spacing w:after="0" w:line="276" w:lineRule="auto"/>
        <w:jc w:val="center"/>
        <w:rPr>
          <w:rFonts w:ascii="Arial" w:hAnsi="Arial" w:cs="Arial"/>
          <w:b/>
          <w:sz w:val="20"/>
          <w:szCs w:val="20"/>
        </w:rPr>
      </w:pPr>
    </w:p>
    <w:p w:rsidR="00BA396E" w:rsidRPr="002B3C50" w:rsidRDefault="00BA396E" w:rsidP="002B3C50">
      <w:pPr>
        <w:widowControl w:val="0"/>
        <w:spacing w:after="0" w:line="276" w:lineRule="auto"/>
        <w:ind w:left="170" w:right="170"/>
        <w:jc w:val="both"/>
        <w:rPr>
          <w:rFonts w:ascii="Arial" w:hAnsi="Arial" w:cs="Arial"/>
          <w:b/>
          <w:color w:val="000000"/>
          <w:kern w:val="16"/>
          <w:sz w:val="20"/>
          <w:szCs w:val="20"/>
        </w:rPr>
      </w:pPr>
      <w:r w:rsidRPr="002B3C50">
        <w:rPr>
          <w:rFonts w:ascii="Arial" w:hAnsi="Arial" w:cs="Arial"/>
          <w:b/>
          <w:color w:val="000000"/>
          <w:kern w:val="16"/>
          <w:sz w:val="20"/>
          <w:szCs w:val="20"/>
        </w:rPr>
        <w:t>Amaç</w:t>
      </w:r>
    </w:p>
    <w:p w:rsidR="00BA396E" w:rsidRPr="002B3C50" w:rsidRDefault="00BA396E" w:rsidP="002B3C50">
      <w:pPr>
        <w:widowControl w:val="0"/>
        <w:spacing w:after="0" w:line="276" w:lineRule="auto"/>
        <w:ind w:left="170" w:right="170"/>
        <w:jc w:val="both"/>
        <w:rPr>
          <w:rFonts w:ascii="Arial" w:hAnsi="Arial" w:cs="Arial"/>
          <w:color w:val="000000"/>
          <w:kern w:val="16"/>
          <w:sz w:val="20"/>
          <w:szCs w:val="20"/>
        </w:rPr>
      </w:pPr>
      <w:r w:rsidRPr="002B3C50">
        <w:rPr>
          <w:rFonts w:ascii="Arial" w:hAnsi="Arial" w:cs="Arial"/>
          <w:b/>
          <w:color w:val="000000"/>
          <w:kern w:val="16"/>
          <w:sz w:val="20"/>
          <w:szCs w:val="20"/>
        </w:rPr>
        <w:t>MADDE 1 –</w:t>
      </w:r>
      <w:r w:rsidRPr="002B3C50">
        <w:rPr>
          <w:rFonts w:ascii="Arial" w:hAnsi="Arial" w:cs="Arial"/>
          <w:color w:val="000000"/>
          <w:kern w:val="16"/>
          <w:sz w:val="20"/>
          <w:szCs w:val="20"/>
        </w:rPr>
        <w:t xml:space="preserve"> (1) Bu Tebliğin amacı, yabancı ülkeler tarafından ihraç edilmiş ve yabancı ülke piyasalarında işlem gören derecelendirmeye tabi tutulmuş finansal varlıklar, yabancı ülkelerde bulunan mevduatlar ile yabancı ülkelerde bulunan gayrimenkullerin teknik karşılıklara karşılık olarak gösterilmesine ilişkin usul ve esasların düzenlenmesidir.</w:t>
      </w:r>
    </w:p>
    <w:p w:rsidR="00BA396E" w:rsidRPr="002B3C50" w:rsidRDefault="00BA396E" w:rsidP="002B3C50">
      <w:pPr>
        <w:widowControl w:val="0"/>
        <w:spacing w:after="0" w:line="276" w:lineRule="auto"/>
        <w:ind w:left="170" w:right="170"/>
        <w:jc w:val="both"/>
        <w:rPr>
          <w:rFonts w:ascii="Arial" w:hAnsi="Arial" w:cs="Arial"/>
          <w:color w:val="000000"/>
          <w:kern w:val="16"/>
          <w:sz w:val="20"/>
          <w:szCs w:val="20"/>
        </w:rPr>
      </w:pPr>
    </w:p>
    <w:p w:rsidR="00BA396E" w:rsidRPr="002B3C50" w:rsidRDefault="00BA396E" w:rsidP="002B3C50">
      <w:pPr>
        <w:widowControl w:val="0"/>
        <w:spacing w:after="0" w:line="276" w:lineRule="auto"/>
        <w:ind w:left="170" w:right="170"/>
        <w:jc w:val="both"/>
        <w:rPr>
          <w:rFonts w:ascii="Arial" w:hAnsi="Arial" w:cs="Arial"/>
          <w:b/>
          <w:color w:val="000000"/>
          <w:kern w:val="16"/>
          <w:sz w:val="20"/>
          <w:szCs w:val="20"/>
        </w:rPr>
      </w:pPr>
      <w:r w:rsidRPr="002B3C50">
        <w:rPr>
          <w:rFonts w:ascii="Arial" w:hAnsi="Arial" w:cs="Arial"/>
          <w:b/>
          <w:color w:val="000000"/>
          <w:kern w:val="16"/>
          <w:sz w:val="20"/>
          <w:szCs w:val="20"/>
        </w:rPr>
        <w:t>Kapsam</w:t>
      </w:r>
    </w:p>
    <w:p w:rsidR="00BA396E" w:rsidRPr="002B3C50" w:rsidRDefault="00BA396E" w:rsidP="002B3C50">
      <w:pPr>
        <w:widowControl w:val="0"/>
        <w:spacing w:after="0" w:line="276" w:lineRule="auto"/>
        <w:ind w:left="170" w:right="170"/>
        <w:jc w:val="both"/>
        <w:rPr>
          <w:rFonts w:ascii="Arial" w:hAnsi="Arial" w:cs="Arial"/>
          <w:color w:val="000000"/>
          <w:kern w:val="16"/>
          <w:sz w:val="20"/>
          <w:szCs w:val="20"/>
        </w:rPr>
      </w:pPr>
      <w:r w:rsidRPr="002B3C50">
        <w:rPr>
          <w:rFonts w:ascii="Arial" w:hAnsi="Arial" w:cs="Arial"/>
          <w:b/>
          <w:color w:val="000000"/>
          <w:kern w:val="16"/>
          <w:sz w:val="20"/>
          <w:szCs w:val="20"/>
        </w:rPr>
        <w:t>MADDE 2 –</w:t>
      </w:r>
      <w:r w:rsidRPr="002B3C50">
        <w:rPr>
          <w:rFonts w:ascii="Arial" w:hAnsi="Arial" w:cs="Arial"/>
          <w:color w:val="000000"/>
          <w:kern w:val="16"/>
          <w:sz w:val="20"/>
          <w:szCs w:val="20"/>
        </w:rPr>
        <w:t xml:space="preserve"> (1) Bu Tebliğ, Türkiye’de kurulu sigorta ve reasürans şirketleri, yabancı sigorta ve reasürans şirketlerinin Türkiye’deki şubeleri ile emeklilik şirketlerini kapsar.</w:t>
      </w:r>
    </w:p>
    <w:p w:rsidR="00BA396E" w:rsidRPr="002B3C50" w:rsidRDefault="00BA396E" w:rsidP="002B3C50">
      <w:pPr>
        <w:widowControl w:val="0"/>
        <w:spacing w:after="0" w:line="276" w:lineRule="auto"/>
        <w:ind w:left="170" w:right="170"/>
        <w:jc w:val="both"/>
        <w:rPr>
          <w:rFonts w:ascii="Arial" w:hAnsi="Arial" w:cs="Arial"/>
          <w:color w:val="000000"/>
          <w:kern w:val="16"/>
          <w:sz w:val="20"/>
          <w:szCs w:val="20"/>
        </w:rPr>
      </w:pPr>
    </w:p>
    <w:p w:rsidR="00BA396E" w:rsidRPr="002B3C50" w:rsidRDefault="00BA396E" w:rsidP="002B3C50">
      <w:pPr>
        <w:widowControl w:val="0"/>
        <w:spacing w:after="0" w:line="276" w:lineRule="auto"/>
        <w:ind w:left="170" w:right="170"/>
        <w:jc w:val="both"/>
        <w:rPr>
          <w:rFonts w:ascii="Arial" w:hAnsi="Arial" w:cs="Arial"/>
          <w:b/>
          <w:color w:val="000000"/>
          <w:kern w:val="16"/>
          <w:sz w:val="20"/>
          <w:szCs w:val="20"/>
        </w:rPr>
      </w:pPr>
      <w:r w:rsidRPr="002B3C50">
        <w:rPr>
          <w:rFonts w:ascii="Arial" w:hAnsi="Arial" w:cs="Arial"/>
          <w:b/>
          <w:color w:val="000000"/>
          <w:kern w:val="16"/>
          <w:sz w:val="20"/>
          <w:szCs w:val="20"/>
        </w:rPr>
        <w:t>Dayanak</w:t>
      </w:r>
    </w:p>
    <w:p w:rsidR="00BA396E" w:rsidRPr="002B3C50" w:rsidRDefault="00BA396E" w:rsidP="002B3C50">
      <w:pPr>
        <w:widowControl w:val="0"/>
        <w:spacing w:after="0" w:line="276" w:lineRule="auto"/>
        <w:ind w:left="170" w:right="170"/>
        <w:jc w:val="both"/>
        <w:rPr>
          <w:rFonts w:ascii="Arial" w:hAnsi="Arial" w:cs="Arial"/>
          <w:color w:val="000000"/>
          <w:kern w:val="16"/>
          <w:sz w:val="20"/>
          <w:szCs w:val="20"/>
        </w:rPr>
      </w:pPr>
      <w:r w:rsidRPr="002B3C50">
        <w:rPr>
          <w:rFonts w:ascii="Arial" w:hAnsi="Arial" w:cs="Arial"/>
          <w:b/>
          <w:color w:val="000000"/>
          <w:kern w:val="16"/>
          <w:sz w:val="20"/>
          <w:szCs w:val="20"/>
        </w:rPr>
        <w:t>MADDE 3 –</w:t>
      </w:r>
      <w:r w:rsidRPr="002B3C50">
        <w:rPr>
          <w:rFonts w:ascii="Arial" w:hAnsi="Arial" w:cs="Arial"/>
          <w:color w:val="000000"/>
          <w:kern w:val="16"/>
          <w:sz w:val="20"/>
          <w:szCs w:val="20"/>
        </w:rPr>
        <w:t xml:space="preserve"> (1) Bu Tebliğ, 5684 sayılı Sigortacılık Kanununun 16 ncı maddesi ile 4632 sayılı Bireysel Emeklilik Tasarruf ve Yatırım Sistemi Kanununun 8 inci maddesine ve Sigorta ve Reasürans ile Emeklilik Şirketlerinin Teknik Karşılıklarına ve Bu Karşılıkların Yatırılacağı Varlıklara İlişkin Yönetmeliğin 11 inci maddesinin altıncı fıkrasına dayanılarak düzenlenmiştir.</w:t>
      </w:r>
    </w:p>
    <w:p w:rsidR="00BA396E" w:rsidRPr="002B3C50" w:rsidRDefault="00BA396E" w:rsidP="002B3C50">
      <w:pPr>
        <w:widowControl w:val="0"/>
        <w:spacing w:after="0" w:line="276" w:lineRule="auto"/>
        <w:ind w:left="170" w:right="170"/>
        <w:jc w:val="both"/>
        <w:rPr>
          <w:rFonts w:ascii="Arial" w:hAnsi="Arial" w:cs="Arial"/>
          <w:b/>
          <w:color w:val="000000"/>
          <w:kern w:val="16"/>
          <w:sz w:val="20"/>
          <w:szCs w:val="20"/>
        </w:rPr>
      </w:pPr>
    </w:p>
    <w:p w:rsidR="00BA396E" w:rsidRPr="002B3C50" w:rsidRDefault="00BA396E" w:rsidP="002B3C50">
      <w:pPr>
        <w:widowControl w:val="0"/>
        <w:spacing w:after="0" w:line="276" w:lineRule="auto"/>
        <w:ind w:left="170" w:right="170"/>
        <w:jc w:val="both"/>
        <w:rPr>
          <w:rFonts w:ascii="Arial" w:hAnsi="Arial" w:cs="Arial"/>
          <w:b/>
          <w:color w:val="000000"/>
          <w:kern w:val="16"/>
          <w:sz w:val="20"/>
          <w:szCs w:val="20"/>
        </w:rPr>
      </w:pPr>
      <w:r w:rsidRPr="002B3C50">
        <w:rPr>
          <w:rFonts w:ascii="Arial" w:hAnsi="Arial" w:cs="Arial"/>
          <w:b/>
          <w:color w:val="000000"/>
          <w:kern w:val="16"/>
          <w:sz w:val="20"/>
          <w:szCs w:val="20"/>
        </w:rPr>
        <w:t>Tanımlar</w:t>
      </w:r>
    </w:p>
    <w:p w:rsidR="00BA396E" w:rsidRPr="002B3C50" w:rsidRDefault="00BA396E" w:rsidP="002B3C50">
      <w:pPr>
        <w:widowControl w:val="0"/>
        <w:spacing w:after="0" w:line="276" w:lineRule="auto"/>
        <w:ind w:left="170" w:right="170"/>
        <w:jc w:val="both"/>
        <w:rPr>
          <w:rFonts w:ascii="Arial" w:hAnsi="Arial" w:cs="Arial"/>
          <w:color w:val="000000"/>
          <w:kern w:val="16"/>
          <w:sz w:val="20"/>
          <w:szCs w:val="20"/>
        </w:rPr>
      </w:pPr>
      <w:r w:rsidRPr="002B3C50">
        <w:rPr>
          <w:rFonts w:ascii="Arial" w:hAnsi="Arial" w:cs="Arial"/>
          <w:b/>
          <w:color w:val="000000"/>
          <w:kern w:val="16"/>
          <w:sz w:val="20"/>
          <w:szCs w:val="20"/>
        </w:rPr>
        <w:t>MADDE 4 –</w:t>
      </w:r>
      <w:r w:rsidRPr="002B3C50">
        <w:rPr>
          <w:rFonts w:ascii="Arial" w:hAnsi="Arial" w:cs="Arial"/>
          <w:color w:val="000000"/>
          <w:kern w:val="16"/>
          <w:sz w:val="20"/>
          <w:szCs w:val="20"/>
        </w:rPr>
        <w:t xml:space="preserve"> (1) Bu Tebliğde geçen tanımlar;</w:t>
      </w:r>
    </w:p>
    <w:p w:rsidR="00BA396E" w:rsidRPr="002B3C50" w:rsidRDefault="00BA396E" w:rsidP="002B3C50">
      <w:pPr>
        <w:widowControl w:val="0"/>
        <w:spacing w:after="0" w:line="276" w:lineRule="auto"/>
        <w:ind w:left="170" w:right="170"/>
        <w:jc w:val="both"/>
        <w:rPr>
          <w:rFonts w:ascii="Arial" w:hAnsi="Arial" w:cs="Arial"/>
          <w:color w:val="000000"/>
          <w:kern w:val="16"/>
          <w:sz w:val="20"/>
          <w:szCs w:val="20"/>
        </w:rPr>
      </w:pPr>
      <w:r w:rsidRPr="002B3C50">
        <w:rPr>
          <w:rFonts w:ascii="Arial" w:hAnsi="Arial" w:cs="Arial"/>
          <w:color w:val="000000"/>
          <w:kern w:val="16"/>
          <w:sz w:val="20"/>
          <w:szCs w:val="20"/>
        </w:rPr>
        <w:t xml:space="preserve">a) Bakan veya Bakanlık: Hazine Müsteşarlığının bağlı bulunduğu Bakan veya Bakanlığı, </w:t>
      </w:r>
    </w:p>
    <w:p w:rsidR="00BA396E" w:rsidRPr="002B3C50" w:rsidRDefault="00BA396E" w:rsidP="002B3C50">
      <w:pPr>
        <w:widowControl w:val="0"/>
        <w:spacing w:after="0" w:line="276" w:lineRule="auto"/>
        <w:ind w:left="170" w:right="170"/>
        <w:jc w:val="both"/>
        <w:rPr>
          <w:rFonts w:ascii="Arial" w:hAnsi="Arial" w:cs="Arial"/>
          <w:color w:val="000000"/>
          <w:kern w:val="16"/>
          <w:sz w:val="20"/>
          <w:szCs w:val="20"/>
        </w:rPr>
      </w:pPr>
      <w:r w:rsidRPr="002B3C50">
        <w:rPr>
          <w:rFonts w:ascii="Arial" w:hAnsi="Arial" w:cs="Arial"/>
          <w:color w:val="000000"/>
          <w:kern w:val="16"/>
          <w:sz w:val="20"/>
          <w:szCs w:val="20"/>
        </w:rPr>
        <w:t>b) İMKB: İstanbul Menkul Kıymetler Borsasını,</w:t>
      </w:r>
    </w:p>
    <w:p w:rsidR="00BA396E" w:rsidRPr="002B3C50" w:rsidRDefault="00BA396E" w:rsidP="002B3C50">
      <w:pPr>
        <w:widowControl w:val="0"/>
        <w:spacing w:after="0" w:line="276" w:lineRule="auto"/>
        <w:ind w:left="170" w:right="170"/>
        <w:jc w:val="both"/>
        <w:rPr>
          <w:rFonts w:ascii="Arial" w:hAnsi="Arial" w:cs="Arial"/>
          <w:color w:val="000000"/>
          <w:kern w:val="16"/>
          <w:sz w:val="20"/>
          <w:szCs w:val="20"/>
        </w:rPr>
      </w:pPr>
      <w:r w:rsidRPr="002B3C50">
        <w:rPr>
          <w:rFonts w:ascii="Arial" w:hAnsi="Arial" w:cs="Arial"/>
          <w:color w:val="000000"/>
          <w:kern w:val="16"/>
          <w:sz w:val="20"/>
          <w:szCs w:val="20"/>
        </w:rPr>
        <w:t>c) Müsteşarlık; Hazine Müsteşarlığını,</w:t>
      </w:r>
    </w:p>
    <w:p w:rsidR="00BA396E" w:rsidRPr="002B3C50" w:rsidRDefault="00BA396E" w:rsidP="002B3C50">
      <w:pPr>
        <w:widowControl w:val="0"/>
        <w:spacing w:after="0" w:line="276" w:lineRule="auto"/>
        <w:ind w:left="170" w:right="170"/>
        <w:jc w:val="both"/>
        <w:rPr>
          <w:rFonts w:ascii="Arial" w:hAnsi="Arial" w:cs="Arial"/>
          <w:color w:val="000000"/>
          <w:kern w:val="16"/>
          <w:sz w:val="20"/>
          <w:szCs w:val="20"/>
        </w:rPr>
      </w:pPr>
      <w:r w:rsidRPr="002B3C50">
        <w:rPr>
          <w:rFonts w:ascii="Arial" w:hAnsi="Arial" w:cs="Arial"/>
          <w:color w:val="000000"/>
          <w:kern w:val="16"/>
          <w:sz w:val="20"/>
          <w:szCs w:val="20"/>
        </w:rPr>
        <w:t>ç) OECD Üyesi Ülkeler: Merkezi Paris’te bulunan "Organisation for Economic Cooperation and Development - Ekonomik İşbirliği ve Kalkınma Örgütü" ne tam üye olan ülkeleri,</w:t>
      </w:r>
    </w:p>
    <w:p w:rsidR="00BA396E" w:rsidRPr="002B3C50" w:rsidRDefault="00BA396E" w:rsidP="002B3C50">
      <w:pPr>
        <w:widowControl w:val="0"/>
        <w:spacing w:after="0" w:line="276" w:lineRule="auto"/>
        <w:ind w:left="170" w:right="170"/>
        <w:jc w:val="both"/>
        <w:rPr>
          <w:rFonts w:ascii="Arial" w:hAnsi="Arial" w:cs="Arial"/>
          <w:color w:val="000000"/>
          <w:kern w:val="16"/>
          <w:sz w:val="20"/>
          <w:szCs w:val="20"/>
        </w:rPr>
      </w:pPr>
      <w:r w:rsidRPr="002B3C50">
        <w:rPr>
          <w:rFonts w:ascii="Arial" w:hAnsi="Arial" w:cs="Arial"/>
          <w:color w:val="000000"/>
          <w:kern w:val="16"/>
          <w:sz w:val="20"/>
          <w:szCs w:val="20"/>
        </w:rPr>
        <w:t>d) Şirket: Türkiye'de kurulmuş sigorta ve reasürans şirketleri ile yabancı ülkelerde kurulmuş sigorta ve reasürans şirketlerinin Türkiye'deki teşkilatını ve emeklilik şirketlerini,</w:t>
      </w:r>
    </w:p>
    <w:p w:rsidR="00BA396E" w:rsidRPr="002B3C50" w:rsidRDefault="00BA396E" w:rsidP="002B3C50">
      <w:pPr>
        <w:widowControl w:val="0"/>
        <w:spacing w:after="0" w:line="276" w:lineRule="auto"/>
        <w:ind w:left="170" w:right="170"/>
        <w:jc w:val="both"/>
        <w:rPr>
          <w:rFonts w:ascii="Arial" w:hAnsi="Arial" w:cs="Arial"/>
          <w:color w:val="000000"/>
          <w:kern w:val="16"/>
          <w:sz w:val="20"/>
          <w:szCs w:val="20"/>
        </w:rPr>
      </w:pPr>
      <w:r w:rsidRPr="002B3C50">
        <w:rPr>
          <w:rFonts w:ascii="Arial" w:hAnsi="Arial" w:cs="Arial"/>
          <w:color w:val="000000"/>
          <w:kern w:val="16"/>
          <w:sz w:val="20"/>
          <w:szCs w:val="20"/>
        </w:rPr>
        <w:t>e) Yabancı finansal varlık: Yabancı ülkeler tarafından ihraç edilmiş ve yabancı ülke piyasalarında işlem gören derecelendirmeye tabi tutulmuş finansal varlıkları,</w:t>
      </w:r>
    </w:p>
    <w:p w:rsidR="00BA396E" w:rsidRPr="002B3C50" w:rsidRDefault="00BA396E" w:rsidP="002B3C50">
      <w:pPr>
        <w:widowControl w:val="0"/>
        <w:spacing w:after="0" w:line="276" w:lineRule="auto"/>
        <w:ind w:left="170" w:right="170"/>
        <w:jc w:val="both"/>
        <w:rPr>
          <w:rFonts w:ascii="Arial" w:hAnsi="Arial" w:cs="Arial"/>
          <w:color w:val="000000"/>
          <w:kern w:val="16"/>
          <w:sz w:val="20"/>
          <w:szCs w:val="20"/>
        </w:rPr>
      </w:pPr>
      <w:r w:rsidRPr="002B3C50">
        <w:rPr>
          <w:rFonts w:ascii="Arial" w:hAnsi="Arial" w:cs="Arial"/>
          <w:color w:val="000000"/>
          <w:kern w:val="16"/>
          <w:sz w:val="20"/>
          <w:szCs w:val="20"/>
        </w:rPr>
        <w:t>f) Yönetmelik: Sigorta ve Reasürans ile Emeklilik Şirketlerinin Teknik Karşılıklarına ve Bu Karşılıkların Yatırılacağı Varlıklara İlişkin Yönetmeliği,</w:t>
      </w:r>
    </w:p>
    <w:p w:rsidR="00BA396E" w:rsidRDefault="00BA396E" w:rsidP="002B3C50">
      <w:pPr>
        <w:widowControl w:val="0"/>
        <w:spacing w:after="0" w:line="276" w:lineRule="auto"/>
        <w:ind w:left="170" w:right="170"/>
        <w:jc w:val="both"/>
        <w:rPr>
          <w:rFonts w:ascii="Arial" w:hAnsi="Arial" w:cs="Arial"/>
          <w:color w:val="000000"/>
          <w:kern w:val="16"/>
          <w:sz w:val="20"/>
          <w:szCs w:val="20"/>
        </w:rPr>
      </w:pPr>
      <w:r w:rsidRPr="002B3C50">
        <w:rPr>
          <w:rFonts w:ascii="Arial" w:hAnsi="Arial" w:cs="Arial"/>
          <w:color w:val="000000"/>
          <w:kern w:val="16"/>
          <w:sz w:val="20"/>
          <w:szCs w:val="20"/>
        </w:rPr>
        <w:t>ifade eder.</w:t>
      </w:r>
    </w:p>
    <w:p w:rsidR="002B3C50" w:rsidRDefault="002B3C50" w:rsidP="002B3C50">
      <w:pPr>
        <w:widowControl w:val="0"/>
        <w:spacing w:after="0" w:line="276" w:lineRule="auto"/>
        <w:ind w:left="170" w:right="170"/>
        <w:jc w:val="both"/>
        <w:rPr>
          <w:rFonts w:ascii="Arial" w:hAnsi="Arial" w:cs="Arial"/>
          <w:color w:val="000000"/>
          <w:kern w:val="16"/>
          <w:sz w:val="20"/>
          <w:szCs w:val="20"/>
        </w:rPr>
      </w:pPr>
    </w:p>
    <w:p w:rsidR="002B3C50" w:rsidRPr="002B3C50" w:rsidRDefault="002B3C50" w:rsidP="002B3C50">
      <w:pPr>
        <w:widowControl w:val="0"/>
        <w:spacing w:after="0" w:line="276" w:lineRule="auto"/>
        <w:ind w:left="170" w:right="170"/>
        <w:jc w:val="both"/>
        <w:rPr>
          <w:rFonts w:ascii="Arial" w:hAnsi="Arial" w:cs="Arial"/>
          <w:color w:val="000000"/>
          <w:kern w:val="16"/>
          <w:sz w:val="20"/>
          <w:szCs w:val="20"/>
        </w:rPr>
      </w:pPr>
    </w:p>
    <w:p w:rsidR="00BA396E" w:rsidRPr="00DA063C" w:rsidRDefault="00BA396E" w:rsidP="002B3C50">
      <w:pPr>
        <w:spacing w:after="0" w:line="276" w:lineRule="auto"/>
        <w:jc w:val="center"/>
        <w:rPr>
          <w:rFonts w:ascii="Arial" w:hAnsi="Arial" w:cs="Arial"/>
          <w:b/>
          <w:sz w:val="20"/>
          <w:szCs w:val="20"/>
        </w:rPr>
      </w:pPr>
      <w:r w:rsidRPr="00DA063C">
        <w:rPr>
          <w:rFonts w:ascii="Arial" w:hAnsi="Arial" w:cs="Arial"/>
          <w:b/>
          <w:sz w:val="20"/>
          <w:szCs w:val="20"/>
        </w:rPr>
        <w:t>İKİNCİ BÖLÜM</w:t>
      </w:r>
    </w:p>
    <w:p w:rsidR="00BA396E" w:rsidRPr="00DA063C" w:rsidRDefault="00BA396E" w:rsidP="002B3C50">
      <w:pPr>
        <w:spacing w:after="0" w:line="276" w:lineRule="auto"/>
        <w:jc w:val="center"/>
        <w:rPr>
          <w:rFonts w:ascii="Arial" w:hAnsi="Arial" w:cs="Arial"/>
          <w:b/>
          <w:sz w:val="20"/>
          <w:szCs w:val="20"/>
        </w:rPr>
      </w:pPr>
      <w:r w:rsidRPr="00DA063C">
        <w:rPr>
          <w:rFonts w:ascii="Arial" w:hAnsi="Arial" w:cs="Arial"/>
          <w:b/>
          <w:sz w:val="20"/>
          <w:szCs w:val="20"/>
        </w:rPr>
        <w:t>Teknik Karşılıkların Yatırılacağı Yabancı Varlıklar</w:t>
      </w:r>
    </w:p>
    <w:p w:rsidR="00BA396E" w:rsidRPr="00DA063C" w:rsidRDefault="00BA396E" w:rsidP="002B3C50">
      <w:pPr>
        <w:spacing w:after="0" w:line="276" w:lineRule="auto"/>
        <w:jc w:val="center"/>
        <w:rPr>
          <w:rFonts w:ascii="Arial" w:hAnsi="Arial" w:cs="Arial"/>
          <w:b/>
          <w:sz w:val="20"/>
          <w:szCs w:val="20"/>
        </w:rPr>
      </w:pPr>
    </w:p>
    <w:p w:rsidR="00BA396E" w:rsidRPr="002B3C50" w:rsidRDefault="00BA396E" w:rsidP="002B3C50">
      <w:pPr>
        <w:widowControl w:val="0"/>
        <w:spacing w:after="0" w:line="276" w:lineRule="auto"/>
        <w:ind w:left="170" w:right="170"/>
        <w:jc w:val="both"/>
        <w:rPr>
          <w:rFonts w:ascii="Arial" w:hAnsi="Arial" w:cs="Arial"/>
          <w:b/>
          <w:color w:val="000000"/>
          <w:kern w:val="16"/>
          <w:sz w:val="20"/>
          <w:szCs w:val="20"/>
        </w:rPr>
      </w:pPr>
      <w:r w:rsidRPr="002B3C50">
        <w:rPr>
          <w:rFonts w:ascii="Arial" w:hAnsi="Arial" w:cs="Arial"/>
          <w:b/>
          <w:color w:val="000000"/>
          <w:kern w:val="16"/>
          <w:sz w:val="20"/>
          <w:szCs w:val="20"/>
        </w:rPr>
        <w:t>Teknik karşılıkları karşılayan yabancı varlıklar</w:t>
      </w:r>
    </w:p>
    <w:p w:rsidR="00BA396E" w:rsidRPr="002B3C50" w:rsidRDefault="00BA396E" w:rsidP="002B3C50">
      <w:pPr>
        <w:widowControl w:val="0"/>
        <w:spacing w:after="0" w:line="276" w:lineRule="auto"/>
        <w:ind w:left="170" w:right="170"/>
        <w:jc w:val="both"/>
        <w:rPr>
          <w:rFonts w:ascii="Arial" w:hAnsi="Arial" w:cs="Arial"/>
          <w:color w:val="000000"/>
          <w:kern w:val="16"/>
          <w:sz w:val="20"/>
          <w:szCs w:val="20"/>
        </w:rPr>
      </w:pPr>
      <w:r w:rsidRPr="002B3C50">
        <w:rPr>
          <w:rFonts w:ascii="Arial" w:hAnsi="Arial" w:cs="Arial"/>
          <w:b/>
          <w:color w:val="000000"/>
          <w:kern w:val="16"/>
          <w:sz w:val="20"/>
          <w:szCs w:val="20"/>
        </w:rPr>
        <w:t xml:space="preserve">MADDE 5 – </w:t>
      </w:r>
      <w:r w:rsidRPr="002B3C50">
        <w:rPr>
          <w:rFonts w:ascii="Arial" w:hAnsi="Arial" w:cs="Arial"/>
          <w:color w:val="000000"/>
          <w:kern w:val="16"/>
          <w:sz w:val="20"/>
          <w:szCs w:val="20"/>
        </w:rPr>
        <w:t>(1) Yönetmeliğin 13 üncü maddesinde yer alan sınırlamaların saklı kalması ve şirketlerin yurt dışında bulunan şubelerinin ilgili ülke mevzuatı gereğince ayırdıkları teknik karşılıkları karşılayan varlıkların hariç olması kaydıyla, şirketler varlık ve yükümlülüklerin eşleştirilmesi prensibi çerçevesinde, Türkiye dışında bulunan risklerle ilgili olarak aşağıdaki sınıflandırma kapsamında yer alan yabancı varlıkları teknik karşılıklarına karşılık olarak gösterebilirler;</w:t>
      </w:r>
    </w:p>
    <w:p w:rsidR="00BA396E" w:rsidRPr="002B3C50" w:rsidRDefault="00BA396E" w:rsidP="002B3C50">
      <w:pPr>
        <w:widowControl w:val="0"/>
        <w:spacing w:after="0" w:line="276" w:lineRule="auto"/>
        <w:ind w:left="170" w:right="170"/>
        <w:jc w:val="both"/>
        <w:rPr>
          <w:rFonts w:ascii="Arial" w:hAnsi="Arial" w:cs="Arial"/>
          <w:color w:val="000000"/>
          <w:kern w:val="16"/>
          <w:sz w:val="20"/>
          <w:szCs w:val="20"/>
        </w:rPr>
      </w:pPr>
      <w:r w:rsidRPr="002B3C50">
        <w:rPr>
          <w:rFonts w:ascii="Arial" w:hAnsi="Arial" w:cs="Arial"/>
          <w:color w:val="000000"/>
          <w:kern w:val="16"/>
          <w:sz w:val="20"/>
          <w:szCs w:val="20"/>
        </w:rPr>
        <w:t>a) OECD’ye üye ülkelerin merkezi yönetimleri ile merkez bankaları ve Avrupa Merkez Bankasınca ihraç edilen sabit veya değişken getirili finansal varlıklar,</w:t>
      </w:r>
    </w:p>
    <w:p w:rsidR="00BA396E" w:rsidRPr="002B3C50" w:rsidRDefault="00BA396E" w:rsidP="002B3C50">
      <w:pPr>
        <w:widowControl w:val="0"/>
        <w:spacing w:after="0" w:line="276" w:lineRule="auto"/>
        <w:ind w:left="170" w:right="170"/>
        <w:jc w:val="both"/>
        <w:rPr>
          <w:rFonts w:ascii="Arial" w:hAnsi="Arial" w:cs="Arial"/>
          <w:color w:val="000000"/>
          <w:kern w:val="16"/>
          <w:sz w:val="20"/>
          <w:szCs w:val="20"/>
        </w:rPr>
      </w:pPr>
      <w:r w:rsidRPr="002B3C50">
        <w:rPr>
          <w:rFonts w:ascii="Arial" w:hAnsi="Arial" w:cs="Arial"/>
          <w:color w:val="000000"/>
          <w:kern w:val="16"/>
          <w:sz w:val="20"/>
          <w:szCs w:val="20"/>
        </w:rPr>
        <w:lastRenderedPageBreak/>
        <w:t>b) OECD’ye üye ülkelerde kurulu bankalarda bulunan vadeli ve vadesiz mevduat,</w:t>
      </w:r>
    </w:p>
    <w:p w:rsidR="00BA396E" w:rsidRPr="002B3C50" w:rsidRDefault="00BA396E" w:rsidP="002B3C50">
      <w:pPr>
        <w:widowControl w:val="0"/>
        <w:spacing w:after="0" w:line="276" w:lineRule="auto"/>
        <w:ind w:left="170" w:right="170"/>
        <w:jc w:val="both"/>
        <w:rPr>
          <w:rFonts w:ascii="Arial" w:hAnsi="Arial" w:cs="Arial"/>
          <w:color w:val="000000"/>
          <w:kern w:val="16"/>
          <w:sz w:val="20"/>
          <w:szCs w:val="20"/>
        </w:rPr>
      </w:pPr>
      <w:r w:rsidRPr="002B3C50">
        <w:rPr>
          <w:rFonts w:ascii="Arial" w:hAnsi="Arial" w:cs="Arial"/>
          <w:color w:val="000000"/>
          <w:kern w:val="16"/>
          <w:sz w:val="20"/>
          <w:szCs w:val="20"/>
        </w:rPr>
        <w:t>c) Müsteşarlıkça belirlenecek borsalara kote edilmiş hisse senetleri,</w:t>
      </w:r>
    </w:p>
    <w:p w:rsidR="00BA396E" w:rsidRPr="002B3C50" w:rsidRDefault="00BA396E" w:rsidP="002B3C50">
      <w:pPr>
        <w:widowControl w:val="0"/>
        <w:spacing w:after="0" w:line="276" w:lineRule="auto"/>
        <w:ind w:left="170" w:right="170"/>
        <w:jc w:val="both"/>
        <w:rPr>
          <w:rFonts w:ascii="Arial" w:hAnsi="Arial" w:cs="Arial"/>
          <w:color w:val="000000"/>
          <w:kern w:val="16"/>
          <w:sz w:val="20"/>
          <w:szCs w:val="20"/>
        </w:rPr>
      </w:pPr>
      <w:r w:rsidRPr="002B3C50">
        <w:rPr>
          <w:rFonts w:ascii="Arial" w:hAnsi="Arial" w:cs="Arial"/>
          <w:color w:val="000000"/>
          <w:kern w:val="16"/>
          <w:sz w:val="20"/>
          <w:szCs w:val="20"/>
        </w:rPr>
        <w:t>ç) OECD’ye üye ülkelerde ihraç edilerek bu ülkelerde işlem gören ve (a), (b) veya (c) bentlerinde belirtilen varlıklardan oluşan yatırım fonları katılma belgeleri,</w:t>
      </w:r>
    </w:p>
    <w:p w:rsidR="00BA396E" w:rsidRPr="002B3C50" w:rsidRDefault="00BA396E" w:rsidP="002B3C50">
      <w:pPr>
        <w:widowControl w:val="0"/>
        <w:spacing w:after="0" w:line="276" w:lineRule="auto"/>
        <w:ind w:left="170" w:right="170"/>
        <w:jc w:val="both"/>
        <w:rPr>
          <w:rFonts w:ascii="Arial" w:hAnsi="Arial" w:cs="Arial"/>
          <w:color w:val="000000"/>
          <w:kern w:val="16"/>
          <w:sz w:val="20"/>
          <w:szCs w:val="20"/>
        </w:rPr>
      </w:pPr>
      <w:r w:rsidRPr="002B3C50">
        <w:rPr>
          <w:rFonts w:ascii="Arial" w:hAnsi="Arial" w:cs="Arial"/>
          <w:color w:val="000000"/>
          <w:kern w:val="16"/>
          <w:sz w:val="20"/>
          <w:szCs w:val="20"/>
        </w:rPr>
        <w:t>d) OECD’ye üye ülkelerde bulunan gayrimenkuller.</w:t>
      </w:r>
    </w:p>
    <w:p w:rsidR="00BA396E" w:rsidRPr="002B3C50" w:rsidRDefault="00BA396E" w:rsidP="002B3C50">
      <w:pPr>
        <w:widowControl w:val="0"/>
        <w:spacing w:after="0" w:line="276" w:lineRule="auto"/>
        <w:ind w:left="170" w:right="170"/>
        <w:jc w:val="both"/>
        <w:rPr>
          <w:rFonts w:ascii="Arial" w:hAnsi="Arial" w:cs="Arial"/>
          <w:color w:val="000000"/>
          <w:kern w:val="16"/>
          <w:sz w:val="20"/>
          <w:szCs w:val="20"/>
        </w:rPr>
      </w:pPr>
      <w:r w:rsidRPr="002B3C50">
        <w:rPr>
          <w:rFonts w:ascii="Arial" w:hAnsi="Arial" w:cs="Arial"/>
          <w:color w:val="000000"/>
          <w:kern w:val="16"/>
          <w:sz w:val="20"/>
          <w:szCs w:val="20"/>
        </w:rPr>
        <w:t xml:space="preserve">(2) Şirket tarafından yatırım yapılacak teknik karşılıkları karşılayan yabancı finansal varlıkların seçiminde piyasa koşullarına göre nakde dönüşümü kolay ve riski az olanlar tercih edilir. </w:t>
      </w:r>
    </w:p>
    <w:p w:rsidR="00BA396E" w:rsidRPr="002B3C50" w:rsidRDefault="00BA396E" w:rsidP="002B3C50">
      <w:pPr>
        <w:widowControl w:val="0"/>
        <w:spacing w:after="0" w:line="276" w:lineRule="auto"/>
        <w:ind w:left="170" w:right="170"/>
        <w:jc w:val="both"/>
        <w:rPr>
          <w:rFonts w:ascii="Arial" w:hAnsi="Arial" w:cs="Arial"/>
          <w:color w:val="000000"/>
          <w:kern w:val="16"/>
          <w:sz w:val="20"/>
          <w:szCs w:val="20"/>
        </w:rPr>
      </w:pPr>
      <w:r w:rsidRPr="002B3C50">
        <w:rPr>
          <w:rFonts w:ascii="Arial" w:hAnsi="Arial" w:cs="Arial"/>
          <w:color w:val="000000"/>
          <w:kern w:val="16"/>
          <w:sz w:val="20"/>
          <w:szCs w:val="20"/>
        </w:rPr>
        <w:t>(3) Şirketler portföylerine alacakları teknik karşılıkları karşılayan yabancı finansal varlıkların, tâbi olduğu ilgili ülke mevzuatına göre borsada satışına ve bedellerinin transferine ilişkin kısıtlamaların bulunup bulunmadığını araştırmak zorundadır. Bu tür kısıtlamaları olan yabancı finansal varlıklar portföye alınamaz.</w:t>
      </w:r>
    </w:p>
    <w:p w:rsidR="00BA396E" w:rsidRPr="002B3C50" w:rsidRDefault="00BA396E" w:rsidP="002B3C50">
      <w:pPr>
        <w:widowControl w:val="0"/>
        <w:spacing w:after="0" w:line="276" w:lineRule="auto"/>
        <w:ind w:left="170" w:right="170"/>
        <w:jc w:val="both"/>
        <w:rPr>
          <w:rFonts w:ascii="Arial" w:hAnsi="Arial" w:cs="Arial"/>
          <w:color w:val="000000"/>
          <w:kern w:val="16"/>
          <w:sz w:val="20"/>
          <w:szCs w:val="20"/>
        </w:rPr>
      </w:pPr>
      <w:r w:rsidRPr="002B3C50">
        <w:rPr>
          <w:rFonts w:ascii="Arial" w:hAnsi="Arial" w:cs="Arial"/>
          <w:color w:val="000000"/>
          <w:kern w:val="16"/>
          <w:sz w:val="20"/>
          <w:szCs w:val="20"/>
        </w:rPr>
        <w:t>(4) Teknik karşılıkları karşılayan yabancı finansal varlıkların Türkiye Cumhuriyet Merkez Bankasınca alım satımı yapılan para birimleri üzerinden ihraç edilmiş araçlar olması şarttır.</w:t>
      </w:r>
    </w:p>
    <w:p w:rsidR="00BA396E" w:rsidRPr="002B3C50" w:rsidRDefault="00BA396E" w:rsidP="002B3C50">
      <w:pPr>
        <w:widowControl w:val="0"/>
        <w:spacing w:after="0" w:line="276" w:lineRule="auto"/>
        <w:ind w:left="170" w:right="170"/>
        <w:jc w:val="both"/>
        <w:rPr>
          <w:rFonts w:ascii="Arial" w:hAnsi="Arial" w:cs="Arial"/>
          <w:color w:val="000000"/>
          <w:kern w:val="16"/>
          <w:sz w:val="20"/>
          <w:szCs w:val="20"/>
        </w:rPr>
      </w:pPr>
      <w:r w:rsidRPr="002B3C50">
        <w:rPr>
          <w:rFonts w:ascii="Arial" w:hAnsi="Arial" w:cs="Arial"/>
          <w:color w:val="000000"/>
          <w:kern w:val="16"/>
          <w:sz w:val="20"/>
          <w:szCs w:val="20"/>
        </w:rPr>
        <w:t xml:space="preserve">(5) Şirket portföyüne, teknik karşılıkları karşılayan yabancı finansal varlıklardan yalnızca ikincil piyasada işlem görenler ve derecelendirmeye tabi tutulmuş olanlar alınır. </w:t>
      </w:r>
    </w:p>
    <w:p w:rsidR="00BA396E" w:rsidRPr="002B3C50" w:rsidRDefault="00BA396E" w:rsidP="002B3C50">
      <w:pPr>
        <w:widowControl w:val="0"/>
        <w:spacing w:after="0" w:line="276" w:lineRule="auto"/>
        <w:ind w:left="170" w:right="170"/>
        <w:jc w:val="both"/>
        <w:rPr>
          <w:rFonts w:ascii="Arial" w:hAnsi="Arial" w:cs="Arial"/>
          <w:color w:val="000000"/>
          <w:kern w:val="16"/>
          <w:sz w:val="20"/>
          <w:szCs w:val="20"/>
        </w:rPr>
      </w:pPr>
      <w:r w:rsidRPr="002B3C50">
        <w:rPr>
          <w:rFonts w:ascii="Arial" w:hAnsi="Arial" w:cs="Arial"/>
          <w:color w:val="000000"/>
          <w:kern w:val="16"/>
          <w:sz w:val="20"/>
          <w:szCs w:val="20"/>
        </w:rPr>
        <w:t xml:space="preserve">(6) Şirket portföyünde bulunan teknik karşılıkları karşılayan yabancı finansal varlıklar satın alındığı veya kote olduğu diğer borsalarda satılabilir. </w:t>
      </w:r>
    </w:p>
    <w:p w:rsidR="00BA396E" w:rsidRPr="002B3C50" w:rsidRDefault="00BA396E" w:rsidP="002B3C50">
      <w:pPr>
        <w:widowControl w:val="0"/>
        <w:spacing w:after="0" w:line="276" w:lineRule="auto"/>
        <w:ind w:left="170" w:right="170"/>
        <w:jc w:val="both"/>
        <w:rPr>
          <w:rFonts w:ascii="Arial" w:hAnsi="Arial" w:cs="Arial"/>
          <w:color w:val="000000"/>
          <w:kern w:val="16"/>
          <w:sz w:val="20"/>
          <w:szCs w:val="20"/>
        </w:rPr>
      </w:pPr>
      <w:r w:rsidRPr="002B3C50">
        <w:rPr>
          <w:rFonts w:ascii="Arial" w:hAnsi="Arial" w:cs="Arial"/>
          <w:color w:val="000000"/>
          <w:kern w:val="16"/>
          <w:sz w:val="20"/>
          <w:szCs w:val="20"/>
        </w:rPr>
        <w:t xml:space="preserve">(7) Teknik karşılıkları karşılayan yabancı finansal varlıklar içerisinde yer alacak hisse senetlerinin, Müsteşarlıkça belirlenen derecelendirme kuruluşları tarafından derecelendirilmesi ve Müsteşarlıkça kabul edilebilir en az derecelendirme notuna sahip olması şarttır. İlgili varlığın derecesini belirleyen belgeler şirket nezdinde bulundurulur. </w:t>
      </w:r>
    </w:p>
    <w:p w:rsidR="00BA396E" w:rsidRPr="002B3C50" w:rsidRDefault="00BA396E" w:rsidP="002B3C50">
      <w:pPr>
        <w:widowControl w:val="0"/>
        <w:spacing w:after="0" w:line="276" w:lineRule="auto"/>
        <w:ind w:left="170" w:right="170"/>
        <w:jc w:val="both"/>
        <w:rPr>
          <w:rFonts w:ascii="Arial" w:hAnsi="Arial" w:cs="Arial"/>
          <w:color w:val="000000"/>
          <w:kern w:val="16"/>
          <w:sz w:val="20"/>
          <w:szCs w:val="20"/>
        </w:rPr>
      </w:pPr>
      <w:r w:rsidRPr="002B3C50">
        <w:rPr>
          <w:rFonts w:ascii="Arial" w:hAnsi="Arial" w:cs="Arial"/>
          <w:color w:val="000000"/>
          <w:kern w:val="16"/>
          <w:sz w:val="20"/>
          <w:szCs w:val="20"/>
        </w:rPr>
        <w:t xml:space="preserve">(8) Teknik karşılıkları karşılayan ve yabancı ülkelerde bulunan gayrimenkullerin değerlerinin tespitinde uluslararası değerleme kuruluşlarının raporları esas alınır. </w:t>
      </w:r>
    </w:p>
    <w:p w:rsidR="00BA396E" w:rsidRPr="002B3C50" w:rsidRDefault="00BA396E" w:rsidP="002B3C50">
      <w:pPr>
        <w:widowControl w:val="0"/>
        <w:spacing w:after="0" w:line="276" w:lineRule="auto"/>
        <w:ind w:left="170" w:right="170"/>
        <w:jc w:val="both"/>
        <w:rPr>
          <w:rFonts w:ascii="Arial" w:hAnsi="Arial" w:cs="Arial"/>
          <w:color w:val="000000"/>
          <w:kern w:val="16"/>
          <w:sz w:val="20"/>
          <w:szCs w:val="20"/>
        </w:rPr>
      </w:pPr>
    </w:p>
    <w:p w:rsidR="00BA396E" w:rsidRPr="002B3C50" w:rsidRDefault="00BA396E" w:rsidP="002B3C50">
      <w:pPr>
        <w:widowControl w:val="0"/>
        <w:spacing w:after="0" w:line="276" w:lineRule="auto"/>
        <w:ind w:left="170" w:right="170"/>
        <w:jc w:val="both"/>
        <w:rPr>
          <w:rFonts w:ascii="Arial" w:hAnsi="Arial" w:cs="Arial"/>
          <w:b/>
          <w:color w:val="000000"/>
          <w:kern w:val="16"/>
          <w:sz w:val="20"/>
          <w:szCs w:val="20"/>
        </w:rPr>
      </w:pPr>
      <w:r w:rsidRPr="002B3C50">
        <w:rPr>
          <w:rFonts w:ascii="Arial" w:hAnsi="Arial" w:cs="Arial"/>
          <w:b/>
          <w:color w:val="000000"/>
          <w:kern w:val="16"/>
          <w:sz w:val="20"/>
          <w:szCs w:val="20"/>
        </w:rPr>
        <w:t>Teknik karşılıkları karşılayan yabancı finansal varlıkların saklanması</w:t>
      </w:r>
    </w:p>
    <w:p w:rsidR="00BA396E" w:rsidRPr="002B3C50" w:rsidRDefault="00BA396E" w:rsidP="002B3C50">
      <w:pPr>
        <w:widowControl w:val="0"/>
        <w:spacing w:after="0" w:line="276" w:lineRule="auto"/>
        <w:ind w:left="170" w:right="170"/>
        <w:jc w:val="both"/>
        <w:rPr>
          <w:rFonts w:ascii="Arial" w:hAnsi="Arial" w:cs="Arial"/>
          <w:color w:val="000000"/>
          <w:kern w:val="16"/>
          <w:sz w:val="20"/>
          <w:szCs w:val="20"/>
        </w:rPr>
      </w:pPr>
      <w:r w:rsidRPr="002B3C50">
        <w:rPr>
          <w:rFonts w:ascii="Arial" w:hAnsi="Arial" w:cs="Arial"/>
          <w:b/>
          <w:color w:val="000000"/>
          <w:kern w:val="16"/>
          <w:sz w:val="20"/>
          <w:szCs w:val="20"/>
        </w:rPr>
        <w:t>MADDE 6 –</w:t>
      </w:r>
      <w:r w:rsidRPr="002B3C50">
        <w:rPr>
          <w:rFonts w:ascii="Arial" w:hAnsi="Arial" w:cs="Arial"/>
          <w:color w:val="000000"/>
          <w:kern w:val="16"/>
          <w:sz w:val="20"/>
          <w:szCs w:val="20"/>
        </w:rPr>
        <w:t xml:space="preserve"> (1) Yabancı varlıkların korunması ve saklanmasına ilişkin sorumluluk nihai olarak şirket üzerinde kalmakla birlikte; Türkiye dışında</w:t>
      </w:r>
      <w:bookmarkStart w:id="2" w:name="_GoBack"/>
      <w:bookmarkEnd w:id="2"/>
      <w:r w:rsidRPr="002B3C50">
        <w:rPr>
          <w:rFonts w:ascii="Arial" w:hAnsi="Arial" w:cs="Arial"/>
          <w:color w:val="000000"/>
          <w:kern w:val="16"/>
          <w:sz w:val="20"/>
          <w:szCs w:val="20"/>
        </w:rPr>
        <w:t xml:space="preserve"> bulunan risklerle ilgili olarak ayrılmış bulunan teknik karşılıklara ilişkin yabancı finansal varlıklar İMKB Takas ve Saklama Bankası A.Ş.’nin yurt dışı muhabirleri nezdindeki hesapları altında şirket adına açılan alt hesaplarda saklanır.</w:t>
      </w:r>
    </w:p>
    <w:p w:rsidR="00BA396E" w:rsidRPr="002B3C50" w:rsidRDefault="00BA396E" w:rsidP="002B3C50">
      <w:pPr>
        <w:widowControl w:val="0"/>
        <w:spacing w:after="0" w:line="276" w:lineRule="auto"/>
        <w:ind w:left="170" w:right="170"/>
        <w:jc w:val="both"/>
        <w:rPr>
          <w:rFonts w:ascii="Arial" w:hAnsi="Arial" w:cs="Arial"/>
          <w:color w:val="000000"/>
          <w:kern w:val="16"/>
          <w:sz w:val="20"/>
          <w:szCs w:val="20"/>
        </w:rPr>
      </w:pPr>
      <w:r w:rsidRPr="002B3C50">
        <w:rPr>
          <w:rFonts w:ascii="Arial" w:hAnsi="Arial" w:cs="Arial"/>
          <w:color w:val="000000"/>
          <w:kern w:val="16"/>
          <w:sz w:val="20"/>
          <w:szCs w:val="20"/>
        </w:rPr>
        <w:t>(2) Yabancı finansal varlıkların alım, satım ve saklama işlemlerinde iletişim SWIFT ve yazı ile gönderilecek talimatlar aracılığı ile yürütülür.</w:t>
      </w:r>
    </w:p>
    <w:p w:rsidR="00BA396E" w:rsidRPr="002B3C50" w:rsidRDefault="00BA396E" w:rsidP="002B3C50">
      <w:pPr>
        <w:widowControl w:val="0"/>
        <w:spacing w:after="0" w:line="276" w:lineRule="auto"/>
        <w:ind w:left="170" w:right="170"/>
        <w:jc w:val="both"/>
        <w:rPr>
          <w:rFonts w:ascii="Arial" w:hAnsi="Arial" w:cs="Arial"/>
          <w:color w:val="000000"/>
          <w:kern w:val="16"/>
          <w:sz w:val="20"/>
          <w:szCs w:val="20"/>
        </w:rPr>
      </w:pPr>
      <w:r w:rsidRPr="002B3C50">
        <w:rPr>
          <w:rFonts w:ascii="Arial" w:hAnsi="Arial" w:cs="Arial"/>
          <w:color w:val="000000"/>
          <w:kern w:val="16"/>
          <w:sz w:val="20"/>
          <w:szCs w:val="20"/>
        </w:rPr>
        <w:t>(3) Saklama hizmeti veren kuruluş tarafından muhafazadaki yabancı finansal varlıkların son durumu itibariyle, tamamını gösterecek şekilde düzenlenmiş belgelerin veya bunların bir örneğinin şirket nezdinde sürekli olarak bulundurulması zorunludur.</w:t>
      </w:r>
    </w:p>
    <w:p w:rsidR="00BA396E" w:rsidRDefault="00BA396E" w:rsidP="002B3C50">
      <w:pPr>
        <w:tabs>
          <w:tab w:val="left" w:pos="566"/>
        </w:tabs>
        <w:spacing w:after="0" w:line="276" w:lineRule="auto"/>
        <w:rPr>
          <w:rFonts w:ascii="Arial" w:hAnsi="Arial" w:cs="Arial"/>
          <w:sz w:val="20"/>
          <w:szCs w:val="20"/>
        </w:rPr>
      </w:pPr>
    </w:p>
    <w:p w:rsidR="002B3C50" w:rsidRPr="00DA063C" w:rsidRDefault="002B3C50" w:rsidP="002B3C50">
      <w:pPr>
        <w:tabs>
          <w:tab w:val="left" w:pos="566"/>
        </w:tabs>
        <w:spacing w:after="0" w:line="276" w:lineRule="auto"/>
        <w:rPr>
          <w:rFonts w:ascii="Arial" w:hAnsi="Arial" w:cs="Arial"/>
          <w:sz w:val="20"/>
          <w:szCs w:val="20"/>
        </w:rPr>
      </w:pPr>
    </w:p>
    <w:p w:rsidR="00BA396E" w:rsidRPr="00DA063C" w:rsidRDefault="00BA396E" w:rsidP="002B3C50">
      <w:pPr>
        <w:spacing w:after="0" w:line="276" w:lineRule="auto"/>
        <w:jc w:val="center"/>
        <w:rPr>
          <w:rFonts w:ascii="Arial" w:hAnsi="Arial" w:cs="Arial"/>
          <w:b/>
          <w:sz w:val="20"/>
          <w:szCs w:val="20"/>
        </w:rPr>
      </w:pPr>
      <w:r w:rsidRPr="00DA063C">
        <w:rPr>
          <w:rFonts w:ascii="Arial" w:hAnsi="Arial" w:cs="Arial"/>
          <w:b/>
          <w:sz w:val="20"/>
          <w:szCs w:val="20"/>
        </w:rPr>
        <w:t>ÜÇÜNCÜ BÖLÜM</w:t>
      </w:r>
    </w:p>
    <w:p w:rsidR="00BA396E" w:rsidRPr="00DA063C" w:rsidRDefault="00BA396E" w:rsidP="002B3C50">
      <w:pPr>
        <w:spacing w:after="0" w:line="276" w:lineRule="auto"/>
        <w:jc w:val="center"/>
        <w:rPr>
          <w:rFonts w:ascii="Arial" w:hAnsi="Arial" w:cs="Arial"/>
          <w:b/>
          <w:sz w:val="20"/>
          <w:szCs w:val="20"/>
        </w:rPr>
      </w:pPr>
      <w:r w:rsidRPr="00DA063C">
        <w:rPr>
          <w:rFonts w:ascii="Arial" w:hAnsi="Arial" w:cs="Arial"/>
          <w:b/>
          <w:sz w:val="20"/>
          <w:szCs w:val="20"/>
        </w:rPr>
        <w:t>Çeşitli ve Son Hükümler</w:t>
      </w:r>
    </w:p>
    <w:p w:rsidR="00BA396E" w:rsidRPr="002B3C50" w:rsidRDefault="00BA396E" w:rsidP="002B3C50">
      <w:pPr>
        <w:widowControl w:val="0"/>
        <w:spacing w:after="0" w:line="276" w:lineRule="auto"/>
        <w:ind w:left="170" w:right="170"/>
        <w:jc w:val="both"/>
        <w:rPr>
          <w:rFonts w:ascii="Arial" w:hAnsi="Arial" w:cs="Arial"/>
          <w:b/>
          <w:color w:val="000000"/>
          <w:kern w:val="16"/>
          <w:sz w:val="20"/>
          <w:szCs w:val="20"/>
        </w:rPr>
      </w:pPr>
      <w:r w:rsidRPr="002B3C50">
        <w:rPr>
          <w:rFonts w:ascii="Arial" w:hAnsi="Arial" w:cs="Arial"/>
          <w:b/>
          <w:color w:val="000000"/>
          <w:kern w:val="16"/>
          <w:sz w:val="20"/>
          <w:szCs w:val="20"/>
        </w:rPr>
        <w:t>Yürürlük</w:t>
      </w:r>
    </w:p>
    <w:p w:rsidR="00BA396E" w:rsidRPr="002B3C50" w:rsidRDefault="00BA396E" w:rsidP="002B3C50">
      <w:pPr>
        <w:widowControl w:val="0"/>
        <w:spacing w:after="0" w:line="276" w:lineRule="auto"/>
        <w:ind w:left="170" w:right="170"/>
        <w:jc w:val="both"/>
        <w:rPr>
          <w:rFonts w:ascii="Arial" w:hAnsi="Arial" w:cs="Arial"/>
          <w:color w:val="000000"/>
          <w:kern w:val="16"/>
          <w:sz w:val="20"/>
          <w:szCs w:val="20"/>
        </w:rPr>
      </w:pPr>
      <w:r w:rsidRPr="002B3C50">
        <w:rPr>
          <w:rFonts w:ascii="Arial" w:hAnsi="Arial" w:cs="Arial"/>
          <w:b/>
          <w:color w:val="000000"/>
          <w:kern w:val="16"/>
          <w:sz w:val="20"/>
          <w:szCs w:val="20"/>
        </w:rPr>
        <w:t>MADDE 7 –</w:t>
      </w:r>
      <w:r w:rsidRPr="002B3C50">
        <w:rPr>
          <w:rFonts w:ascii="Arial" w:hAnsi="Arial" w:cs="Arial"/>
          <w:color w:val="000000"/>
          <w:kern w:val="16"/>
          <w:sz w:val="20"/>
          <w:szCs w:val="20"/>
        </w:rPr>
        <w:t xml:space="preserve"> (1) Bu Tebliğ yayımı tarihinde yürürlüğe girer.</w:t>
      </w:r>
    </w:p>
    <w:p w:rsidR="00BA396E" w:rsidRPr="002B3C50" w:rsidRDefault="00BA396E" w:rsidP="002B3C50">
      <w:pPr>
        <w:widowControl w:val="0"/>
        <w:spacing w:after="0" w:line="276" w:lineRule="auto"/>
        <w:ind w:left="170" w:right="170"/>
        <w:jc w:val="both"/>
        <w:rPr>
          <w:rFonts w:ascii="Arial" w:hAnsi="Arial" w:cs="Arial"/>
          <w:b/>
          <w:color w:val="000000"/>
          <w:kern w:val="16"/>
          <w:sz w:val="20"/>
          <w:szCs w:val="20"/>
        </w:rPr>
      </w:pPr>
    </w:p>
    <w:p w:rsidR="00BA396E" w:rsidRPr="002B3C50" w:rsidRDefault="00BA396E" w:rsidP="002B3C50">
      <w:pPr>
        <w:widowControl w:val="0"/>
        <w:spacing w:after="0" w:line="276" w:lineRule="auto"/>
        <w:ind w:left="170" w:right="170"/>
        <w:jc w:val="both"/>
        <w:rPr>
          <w:rFonts w:ascii="Arial" w:hAnsi="Arial" w:cs="Arial"/>
          <w:b/>
          <w:color w:val="000000"/>
          <w:kern w:val="16"/>
          <w:sz w:val="20"/>
          <w:szCs w:val="20"/>
        </w:rPr>
      </w:pPr>
      <w:r w:rsidRPr="002B3C50">
        <w:rPr>
          <w:rFonts w:ascii="Arial" w:hAnsi="Arial" w:cs="Arial"/>
          <w:b/>
          <w:color w:val="000000"/>
          <w:kern w:val="16"/>
          <w:sz w:val="20"/>
          <w:szCs w:val="20"/>
        </w:rPr>
        <w:t>Yürütme</w:t>
      </w:r>
    </w:p>
    <w:p w:rsidR="00BA396E" w:rsidRPr="002B3C50" w:rsidRDefault="00BA396E" w:rsidP="002B3C50">
      <w:pPr>
        <w:widowControl w:val="0"/>
        <w:spacing w:after="0" w:line="276" w:lineRule="auto"/>
        <w:ind w:left="170" w:right="170"/>
        <w:jc w:val="both"/>
        <w:rPr>
          <w:rFonts w:ascii="Arial" w:hAnsi="Arial" w:cs="Arial"/>
          <w:color w:val="000000"/>
          <w:kern w:val="16"/>
          <w:sz w:val="20"/>
          <w:szCs w:val="20"/>
        </w:rPr>
      </w:pPr>
      <w:r w:rsidRPr="002B3C50">
        <w:rPr>
          <w:rFonts w:ascii="Arial" w:hAnsi="Arial" w:cs="Arial"/>
          <w:b/>
          <w:color w:val="000000"/>
          <w:kern w:val="16"/>
          <w:sz w:val="20"/>
          <w:szCs w:val="20"/>
        </w:rPr>
        <w:t>MADDE 8 –</w:t>
      </w:r>
      <w:r w:rsidRPr="002B3C50">
        <w:rPr>
          <w:rFonts w:ascii="Arial" w:hAnsi="Arial" w:cs="Arial"/>
          <w:color w:val="000000"/>
          <w:kern w:val="16"/>
          <w:sz w:val="20"/>
          <w:szCs w:val="20"/>
        </w:rPr>
        <w:t xml:space="preserve"> (1) Bu Tebliğ hükümlerini Hazine Müsteşarlığının bağlı bulunduğu Bakan yürütür.</w:t>
      </w:r>
    </w:p>
    <w:p w:rsidR="00BA396E" w:rsidRDefault="00BA396E" w:rsidP="00BA396E">
      <w:pPr>
        <w:rPr>
          <w:rFonts w:ascii="Arial" w:hAnsi="Arial" w:cs="Arial"/>
          <w:sz w:val="20"/>
          <w:szCs w:val="20"/>
          <w:lang w:eastAsia="tr-TR"/>
        </w:rPr>
      </w:pPr>
    </w:p>
    <w:p w:rsidR="00BA396E" w:rsidRDefault="00BA396E" w:rsidP="00BA396E">
      <w:pPr>
        <w:rPr>
          <w:rFonts w:ascii="Arial" w:hAnsi="Arial" w:cs="Arial"/>
          <w:sz w:val="20"/>
          <w:szCs w:val="20"/>
          <w:lang w:eastAsia="tr-TR"/>
        </w:rPr>
      </w:pPr>
    </w:p>
    <w:tbl>
      <w:tblPr>
        <w:tblStyle w:val="TabloKlavuzu"/>
        <w:tblW w:w="0" w:type="auto"/>
        <w:tblLook w:val="04A0" w:firstRow="1" w:lastRow="0" w:firstColumn="1" w:lastColumn="0" w:noHBand="0" w:noVBand="1"/>
      </w:tblPr>
      <w:tblGrid>
        <w:gridCol w:w="3020"/>
        <w:gridCol w:w="3021"/>
        <w:gridCol w:w="3021"/>
      </w:tblGrid>
      <w:tr w:rsidR="00BA396E" w:rsidTr="00BA396E">
        <w:trPr>
          <w:trHeight w:val="258"/>
        </w:trPr>
        <w:tc>
          <w:tcPr>
            <w:tcW w:w="3020" w:type="dxa"/>
          </w:tcPr>
          <w:p w:rsidR="00BA396E" w:rsidRPr="0011639D" w:rsidRDefault="00BA396E" w:rsidP="004D4A4A">
            <w:pPr>
              <w:jc w:val="center"/>
              <w:rPr>
                <w:rFonts w:ascii="Arial" w:hAnsi="Arial" w:cs="Arial"/>
                <w:b/>
                <w:sz w:val="20"/>
                <w:szCs w:val="20"/>
              </w:rPr>
            </w:pPr>
            <w:r w:rsidRPr="0011639D">
              <w:rPr>
                <w:rFonts w:ascii="Arial" w:hAnsi="Arial" w:cs="Arial"/>
                <w:b/>
                <w:sz w:val="20"/>
                <w:szCs w:val="20"/>
              </w:rPr>
              <w:t>Tebliğ No</w:t>
            </w:r>
          </w:p>
        </w:tc>
        <w:tc>
          <w:tcPr>
            <w:tcW w:w="3021" w:type="dxa"/>
          </w:tcPr>
          <w:p w:rsidR="00BA396E" w:rsidRPr="0011639D" w:rsidRDefault="00BA396E" w:rsidP="004D4A4A">
            <w:pPr>
              <w:jc w:val="center"/>
              <w:rPr>
                <w:rFonts w:ascii="Arial" w:hAnsi="Arial" w:cs="Arial"/>
                <w:b/>
                <w:sz w:val="20"/>
                <w:szCs w:val="20"/>
              </w:rPr>
            </w:pPr>
            <w:r w:rsidRPr="0011639D">
              <w:rPr>
                <w:rFonts w:ascii="Arial" w:hAnsi="Arial" w:cs="Arial"/>
                <w:b/>
                <w:sz w:val="20"/>
                <w:szCs w:val="20"/>
              </w:rPr>
              <w:t>Resmi Gazete Tarihi</w:t>
            </w:r>
          </w:p>
        </w:tc>
        <w:tc>
          <w:tcPr>
            <w:tcW w:w="3021" w:type="dxa"/>
          </w:tcPr>
          <w:p w:rsidR="00BA396E" w:rsidRPr="0011639D" w:rsidRDefault="00BA396E" w:rsidP="004D4A4A">
            <w:pPr>
              <w:jc w:val="center"/>
              <w:rPr>
                <w:rFonts w:ascii="Arial" w:hAnsi="Arial" w:cs="Arial"/>
                <w:b/>
                <w:sz w:val="20"/>
                <w:szCs w:val="20"/>
              </w:rPr>
            </w:pPr>
            <w:r w:rsidRPr="0011639D">
              <w:rPr>
                <w:rFonts w:ascii="Arial" w:hAnsi="Arial" w:cs="Arial"/>
                <w:b/>
                <w:sz w:val="20"/>
                <w:szCs w:val="20"/>
              </w:rPr>
              <w:t>Resmi Gazete Sayısı</w:t>
            </w:r>
          </w:p>
        </w:tc>
      </w:tr>
      <w:tr w:rsidR="00BA396E" w:rsidTr="004D4A4A">
        <w:tc>
          <w:tcPr>
            <w:tcW w:w="3020" w:type="dxa"/>
          </w:tcPr>
          <w:p w:rsidR="00BA396E" w:rsidRPr="0011639D" w:rsidRDefault="00BA396E" w:rsidP="004D4A4A">
            <w:pPr>
              <w:jc w:val="center"/>
              <w:rPr>
                <w:rFonts w:ascii="Arial" w:hAnsi="Arial" w:cs="Arial"/>
                <w:sz w:val="20"/>
                <w:szCs w:val="20"/>
              </w:rPr>
            </w:pPr>
            <w:r w:rsidRPr="0011639D">
              <w:rPr>
                <w:rFonts w:ascii="Arial" w:hAnsi="Arial" w:cs="Arial"/>
                <w:sz w:val="20"/>
                <w:szCs w:val="20"/>
              </w:rPr>
              <w:t>-</w:t>
            </w:r>
          </w:p>
        </w:tc>
        <w:tc>
          <w:tcPr>
            <w:tcW w:w="3021" w:type="dxa"/>
          </w:tcPr>
          <w:p w:rsidR="00BA396E" w:rsidRPr="0011639D" w:rsidRDefault="00BA396E" w:rsidP="004D4A4A">
            <w:pPr>
              <w:jc w:val="center"/>
              <w:rPr>
                <w:rFonts w:ascii="Arial" w:hAnsi="Arial" w:cs="Arial"/>
                <w:sz w:val="20"/>
                <w:szCs w:val="20"/>
              </w:rPr>
            </w:pPr>
            <w:r w:rsidRPr="0011639D">
              <w:rPr>
                <w:rFonts w:ascii="Arial" w:hAnsi="Arial" w:cs="Arial"/>
                <w:sz w:val="20"/>
                <w:szCs w:val="20"/>
              </w:rPr>
              <w:t>21.01.2009</w:t>
            </w:r>
          </w:p>
        </w:tc>
        <w:tc>
          <w:tcPr>
            <w:tcW w:w="3021" w:type="dxa"/>
          </w:tcPr>
          <w:p w:rsidR="00BA396E" w:rsidRPr="0011639D" w:rsidRDefault="00BA396E" w:rsidP="004D4A4A">
            <w:pPr>
              <w:jc w:val="center"/>
              <w:rPr>
                <w:rFonts w:ascii="Arial" w:hAnsi="Arial" w:cs="Arial"/>
                <w:sz w:val="20"/>
                <w:szCs w:val="20"/>
              </w:rPr>
            </w:pPr>
            <w:r w:rsidRPr="0011639D">
              <w:rPr>
                <w:rFonts w:ascii="Arial" w:hAnsi="Arial" w:cs="Arial"/>
                <w:sz w:val="20"/>
                <w:szCs w:val="20"/>
              </w:rPr>
              <w:t>27117</w:t>
            </w:r>
          </w:p>
        </w:tc>
      </w:tr>
    </w:tbl>
    <w:p w:rsidR="00BA396E" w:rsidRDefault="00BA396E" w:rsidP="00BA396E">
      <w:pPr>
        <w:rPr>
          <w:lang w:eastAsia="tr-TR"/>
        </w:rPr>
      </w:pPr>
      <w:r>
        <w:rPr>
          <w:rFonts w:ascii="Arial" w:hAnsi="Arial" w:cs="Arial"/>
          <w:sz w:val="20"/>
          <w:szCs w:val="20"/>
          <w:lang w:eastAsia="tr-TR"/>
        </w:rPr>
        <w:br w:type="page"/>
      </w:r>
    </w:p>
    <w:p w:rsidR="00476F54" w:rsidRDefault="00476F54"/>
    <w:sectPr w:rsidR="00476F5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96E" w:rsidRDefault="00BA396E" w:rsidP="00BA396E">
      <w:pPr>
        <w:spacing w:after="0" w:line="240" w:lineRule="auto"/>
      </w:pPr>
      <w:r>
        <w:separator/>
      </w:r>
    </w:p>
  </w:endnote>
  <w:endnote w:type="continuationSeparator" w:id="0">
    <w:p w:rsidR="00BA396E" w:rsidRDefault="00BA396E" w:rsidP="00BA3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96E" w:rsidRPr="005C1FBC" w:rsidRDefault="005C1FBC" w:rsidP="005C1FBC">
    <w:pPr>
      <w:pStyle w:val="AltBilgi"/>
    </w:pPr>
    <w:r>
      <w:rPr>
        <w:sz w:val="20"/>
      </w:rPr>
      <w:fldChar w:fldCharType="begin" w:fldLock="1"/>
    </w:r>
    <w:r>
      <w:rPr>
        <w:sz w:val="20"/>
      </w:rPr>
      <w:instrText xml:space="preserve"> DOCPROPERTY bjFooterEvenPageDocProperty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96E" w:rsidRPr="005C1FBC" w:rsidRDefault="005C1FBC" w:rsidP="005C1FBC">
    <w:pPr>
      <w:pStyle w:val="AltBilgi"/>
    </w:pPr>
    <w:r>
      <w:rPr>
        <w:sz w:val="20"/>
      </w:rPr>
      <w:fldChar w:fldCharType="begin" w:fldLock="1"/>
    </w:r>
    <w:r>
      <w:rPr>
        <w:sz w:val="20"/>
      </w:rPr>
      <w:instrText xml:space="preserve"> DOCPROPERTY bjFooterBothDocProperty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96E" w:rsidRPr="005C1FBC" w:rsidRDefault="005C1FBC" w:rsidP="005C1FBC">
    <w:pPr>
      <w:pStyle w:val="AltBilgi"/>
    </w:pPr>
    <w:r>
      <w:rPr>
        <w:sz w:val="20"/>
      </w:rPr>
      <w:fldChar w:fldCharType="begin" w:fldLock="1"/>
    </w:r>
    <w:r>
      <w:rPr>
        <w:sz w:val="20"/>
      </w:rPr>
      <w:instrText xml:space="preserve"> DOCPROPERTY bjFooterFirstPageDocProperty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96E" w:rsidRDefault="00BA396E" w:rsidP="00BA396E">
      <w:pPr>
        <w:spacing w:after="0" w:line="240" w:lineRule="auto"/>
      </w:pPr>
      <w:r>
        <w:separator/>
      </w:r>
    </w:p>
  </w:footnote>
  <w:footnote w:type="continuationSeparator" w:id="0">
    <w:p w:rsidR="00BA396E" w:rsidRDefault="00BA396E" w:rsidP="00BA3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96E" w:rsidRDefault="00BA396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96E" w:rsidRDefault="00BA396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96E" w:rsidRDefault="00BA396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B65"/>
    <w:rsid w:val="002B3C50"/>
    <w:rsid w:val="002E6B65"/>
    <w:rsid w:val="00476F54"/>
    <w:rsid w:val="005C1FBC"/>
    <w:rsid w:val="00BA396E"/>
    <w:rsid w:val="00F106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9D75B2"/>
  <w15:chartTrackingRefBased/>
  <w15:docId w15:val="{92802AA7-5F5C-41CA-9F2D-958CAFDD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96E"/>
  </w:style>
  <w:style w:type="paragraph" w:styleId="Balk2">
    <w:name w:val="heading 2"/>
    <w:basedOn w:val="Normal"/>
    <w:next w:val="Normal"/>
    <w:link w:val="Balk2Char"/>
    <w:uiPriority w:val="9"/>
    <w:unhideWhenUsed/>
    <w:qFormat/>
    <w:rsid w:val="00BA39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A396E"/>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59"/>
    <w:rsid w:val="00BA3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A396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A396E"/>
  </w:style>
  <w:style w:type="paragraph" w:styleId="AltBilgi">
    <w:name w:val="footer"/>
    <w:basedOn w:val="Normal"/>
    <w:link w:val="AltBilgiChar"/>
    <w:uiPriority w:val="99"/>
    <w:unhideWhenUsed/>
    <w:rsid w:val="00BA396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A3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274E02AB-808C-4B85-A4AA-005A9CA51A6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866</Words>
  <Characters>4938</Characters>
  <Application>Microsoft Office Word</Application>
  <DocSecurity>0</DocSecurity>
  <Lines>41</Lines>
  <Paragraphs>11</Paragraphs>
  <ScaleCrop>false</ScaleCrop>
  <Company>EGM</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5</cp:revision>
  <dcterms:created xsi:type="dcterms:W3CDTF">2022-12-16T06:46:00Z</dcterms:created>
  <dcterms:modified xsi:type="dcterms:W3CDTF">2023-01-10T19:15:00Z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dcef58af-e8d0-48b2-a05b-5fc8d197da14</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