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ECD1" w14:textId="3BF3D8A9" w:rsidR="00FB149B" w:rsidRDefault="00FB149B" w:rsidP="00FB149B">
      <w:pPr>
        <w:rPr>
          <w:b/>
        </w:rPr>
      </w:pPr>
      <w:r w:rsidRPr="00626E0B">
        <w:rPr>
          <w:b/>
        </w:rPr>
        <w:t>Resmî Gazete</w:t>
      </w:r>
      <w:r>
        <w:rPr>
          <w:b/>
        </w:rPr>
        <w:t xml:space="preserve"> No</w:t>
      </w:r>
      <w:r w:rsidRPr="00626E0B">
        <w:rPr>
          <w:b/>
        </w:rPr>
        <w:t xml:space="preserve">: </w:t>
      </w:r>
      <w:r w:rsidR="00654CFD" w:rsidRPr="00A427C9">
        <w:rPr>
          <w:bCs/>
        </w:rPr>
        <w:t>32</w:t>
      </w:r>
      <w:r w:rsidR="00654CFD">
        <w:rPr>
          <w:bCs/>
        </w:rPr>
        <w:t>769 (5.Mükerrer)</w:t>
      </w:r>
    </w:p>
    <w:p w14:paraId="640E0390" w14:textId="394C43C6" w:rsidR="00FB149B" w:rsidRPr="00BD59C5" w:rsidRDefault="00FB149B" w:rsidP="00FB149B">
      <w:pPr>
        <w:rPr>
          <w:b/>
        </w:rPr>
      </w:pPr>
      <w:r w:rsidRPr="00626E0B">
        <w:rPr>
          <w:b/>
        </w:rPr>
        <w:t>Resmî Gazete</w:t>
      </w:r>
      <w:r>
        <w:rPr>
          <w:b/>
        </w:rPr>
        <w:t xml:space="preserve"> Tarihi: </w:t>
      </w:r>
      <w:r w:rsidR="00654CFD">
        <w:rPr>
          <w:bCs/>
        </w:rPr>
        <w:t>31.12.2024</w:t>
      </w:r>
    </w:p>
    <w:p w14:paraId="08AB8BE6" w14:textId="5D04EF65" w:rsidR="00FB149B" w:rsidRPr="00011F9B" w:rsidRDefault="00FB149B" w:rsidP="00FB149B">
      <w:pPr>
        <w:rPr>
          <w:b/>
        </w:rPr>
      </w:pPr>
      <w:r>
        <w:rPr>
          <w:b/>
          <w:u w:val="single"/>
        </w:rPr>
        <w:t>Sigortacılık ve Özel Emeklilik Düzenleme ve Denetleme Kurumundan:</w:t>
      </w:r>
    </w:p>
    <w:p w14:paraId="10A1D336" w14:textId="61032807" w:rsidR="00626E7B" w:rsidRPr="00FB149B" w:rsidRDefault="00626E7B">
      <w:pPr>
        <w:rPr>
          <w:sz w:val="24"/>
          <w:szCs w:val="24"/>
        </w:rPr>
      </w:pPr>
    </w:p>
    <w:p w14:paraId="1F3B4B61" w14:textId="77777777" w:rsidR="00FB149B" w:rsidRPr="00FB149B" w:rsidRDefault="00FB149B" w:rsidP="00FB149B">
      <w:pPr>
        <w:pStyle w:val="ortabalkbold"/>
        <w:spacing w:before="0" w:beforeAutospacing="0" w:after="0" w:afterAutospacing="0" w:line="240" w:lineRule="atLeast"/>
        <w:jc w:val="center"/>
        <w:rPr>
          <w:rFonts w:ascii="Arial" w:hAnsi="Arial" w:cs="Arial"/>
          <w:b/>
          <w:bCs/>
          <w:color w:val="000000"/>
        </w:rPr>
      </w:pPr>
      <w:r w:rsidRPr="00FB149B">
        <w:rPr>
          <w:rFonts w:ascii="Arial" w:hAnsi="Arial" w:cs="Arial"/>
          <w:b/>
          <w:bCs/>
          <w:color w:val="000000"/>
        </w:rPr>
        <w:t>SİGORTA VE REASÜRANS İLE EMEKLİLİK ŞİRKETLERİNİN TEKNİK</w:t>
      </w:r>
    </w:p>
    <w:p w14:paraId="40C78AC6" w14:textId="77777777" w:rsidR="00FB149B" w:rsidRPr="00FB149B" w:rsidRDefault="00FB149B" w:rsidP="00FB149B">
      <w:pPr>
        <w:pStyle w:val="ortabalkbold"/>
        <w:spacing w:before="0" w:beforeAutospacing="0" w:after="0" w:afterAutospacing="0" w:line="240" w:lineRule="atLeast"/>
        <w:jc w:val="center"/>
        <w:rPr>
          <w:rFonts w:ascii="Arial" w:hAnsi="Arial" w:cs="Arial"/>
          <w:b/>
          <w:bCs/>
          <w:color w:val="000000"/>
        </w:rPr>
      </w:pPr>
      <w:r w:rsidRPr="00FB149B">
        <w:rPr>
          <w:rFonts w:ascii="Arial" w:hAnsi="Arial" w:cs="Arial"/>
          <w:b/>
          <w:bCs/>
          <w:color w:val="000000"/>
        </w:rPr>
        <w:t>KARŞILIKLARINA VE BU KARŞILIKLARIN YATIRILACAĞI</w:t>
      </w:r>
    </w:p>
    <w:p w14:paraId="4223B328" w14:textId="77777777" w:rsidR="00FB149B" w:rsidRPr="00FB149B" w:rsidRDefault="00FB149B" w:rsidP="00FB149B">
      <w:pPr>
        <w:pStyle w:val="ortabalkbold"/>
        <w:spacing w:before="0" w:beforeAutospacing="0" w:after="0" w:afterAutospacing="0" w:line="240" w:lineRule="atLeast"/>
        <w:jc w:val="center"/>
        <w:rPr>
          <w:rFonts w:ascii="Arial" w:hAnsi="Arial" w:cs="Arial"/>
          <w:b/>
          <w:bCs/>
          <w:color w:val="000000"/>
        </w:rPr>
      </w:pPr>
      <w:r w:rsidRPr="00FB149B">
        <w:rPr>
          <w:rFonts w:ascii="Arial" w:hAnsi="Arial" w:cs="Arial"/>
          <w:b/>
          <w:bCs/>
          <w:color w:val="000000"/>
        </w:rPr>
        <w:t>VARLIKLARA İLİŞKİN YÖNETMELİKTE DEĞİŞİKLİK</w:t>
      </w:r>
    </w:p>
    <w:p w14:paraId="6E9CEE94" w14:textId="77777777" w:rsidR="00FB149B" w:rsidRPr="00FB149B" w:rsidRDefault="00FB149B" w:rsidP="00FB149B">
      <w:pPr>
        <w:pStyle w:val="ortabalkbold"/>
        <w:spacing w:before="0" w:beforeAutospacing="0" w:after="0" w:afterAutospacing="0" w:line="240" w:lineRule="atLeast"/>
        <w:jc w:val="center"/>
        <w:rPr>
          <w:rFonts w:ascii="Arial" w:hAnsi="Arial" w:cs="Arial"/>
          <w:b/>
          <w:bCs/>
          <w:color w:val="000000"/>
        </w:rPr>
      </w:pPr>
      <w:r w:rsidRPr="00FB149B">
        <w:rPr>
          <w:rFonts w:ascii="Arial" w:hAnsi="Arial" w:cs="Arial"/>
          <w:b/>
          <w:bCs/>
          <w:color w:val="000000"/>
        </w:rPr>
        <w:t>YAPILMASINA DAİR YÖNETMELİK</w:t>
      </w:r>
    </w:p>
    <w:p w14:paraId="157996EF" w14:textId="0D28F504" w:rsidR="00FB149B" w:rsidRDefault="00FB149B" w:rsidP="00FB149B">
      <w:pPr>
        <w:pStyle w:val="ortabalkbold"/>
        <w:spacing w:before="0" w:beforeAutospacing="0" w:after="0" w:afterAutospacing="0" w:line="240" w:lineRule="atLeast"/>
        <w:jc w:val="center"/>
        <w:rPr>
          <w:b/>
          <w:bCs/>
          <w:color w:val="000000"/>
          <w:sz w:val="18"/>
          <w:szCs w:val="18"/>
        </w:rPr>
      </w:pPr>
      <w:r>
        <w:rPr>
          <w:b/>
          <w:bCs/>
          <w:color w:val="000000"/>
          <w:sz w:val="18"/>
          <w:szCs w:val="18"/>
        </w:rPr>
        <w:t> </w:t>
      </w:r>
    </w:p>
    <w:p w14:paraId="774C484E" w14:textId="77777777" w:rsidR="00FB149B" w:rsidRDefault="00FB149B" w:rsidP="00FB149B">
      <w:pPr>
        <w:pStyle w:val="ortabalkbold"/>
        <w:spacing w:before="0" w:beforeAutospacing="0" w:after="0" w:afterAutospacing="0" w:line="240" w:lineRule="atLeast"/>
        <w:jc w:val="center"/>
        <w:rPr>
          <w:b/>
          <w:bCs/>
          <w:color w:val="000000"/>
          <w:sz w:val="19"/>
          <w:szCs w:val="19"/>
        </w:rPr>
      </w:pPr>
    </w:p>
    <w:p w14:paraId="39EABCB8" w14:textId="77777777" w:rsidR="00654CFD" w:rsidRPr="00654CFD" w:rsidRDefault="00FB149B" w:rsidP="00654CFD">
      <w:pPr>
        <w:spacing w:line="276" w:lineRule="auto"/>
        <w:ind w:left="170"/>
        <w:rPr>
          <w:kern w:val="0"/>
          <w:lang w:eastAsia="tr-TR"/>
        </w:rPr>
      </w:pPr>
      <w:r w:rsidRPr="00FB149B">
        <w:rPr>
          <w:b/>
          <w:kern w:val="0"/>
          <w:lang w:eastAsia="tr-TR"/>
        </w:rPr>
        <w:t>MADDE 1 –</w:t>
      </w:r>
      <w:r w:rsidRPr="00FB149B">
        <w:rPr>
          <w:kern w:val="0"/>
          <w:lang w:eastAsia="tr-TR"/>
        </w:rPr>
        <w:t> </w:t>
      </w:r>
      <w:r w:rsidR="00654CFD" w:rsidRPr="00654CFD">
        <w:rPr>
          <w:kern w:val="0"/>
          <w:lang w:eastAsia="tr-TR"/>
        </w:rPr>
        <w:t>7/8/2007 tarihli ve 26606 sayılı Resmî Gazete’de yayımlanan Sigorta ve Reasürans ile Emeklilik Şirketlerinin Teknik Karşılıklarına ve Bu Karşılıkların Yatırılacağı Varlıklara İlişkin Yönetmeliğin 13 üncü maddesinin birinci fıkrasının (a) ve (ç) bentleri aşağıdaki şekilde değiştirilmiştir.</w:t>
      </w:r>
    </w:p>
    <w:p w14:paraId="7D569F34" w14:textId="77777777" w:rsidR="00654CFD" w:rsidRPr="00654CFD" w:rsidRDefault="00654CFD" w:rsidP="00654CFD">
      <w:pPr>
        <w:spacing w:line="276" w:lineRule="auto"/>
        <w:ind w:left="170"/>
        <w:rPr>
          <w:kern w:val="0"/>
          <w:lang w:eastAsia="tr-TR"/>
        </w:rPr>
      </w:pPr>
      <w:r w:rsidRPr="00654CFD">
        <w:rPr>
          <w:kern w:val="0"/>
          <w:lang w:eastAsia="tr-TR"/>
        </w:rPr>
        <w:t>“a) Tek bir arazi, arsa veya bina veya tek bir parça şeklinde düşünülebilecek kadar birbirine yakın veya bunlardan gelecek zararların birbirlerini etkileyebileceği arazi, arsa veya binaların değerinin brüt teknik karşılıkların %5’ini aşan kısmı,”</w:t>
      </w:r>
    </w:p>
    <w:p w14:paraId="52376D04" w14:textId="4AC509C9" w:rsidR="00FB149B" w:rsidRDefault="00654CFD" w:rsidP="00654CFD">
      <w:pPr>
        <w:spacing w:line="276" w:lineRule="auto"/>
        <w:ind w:left="170"/>
        <w:rPr>
          <w:kern w:val="0"/>
          <w:lang w:eastAsia="tr-TR"/>
        </w:rPr>
      </w:pPr>
      <w:r w:rsidRPr="00654CFD">
        <w:rPr>
          <w:kern w:val="0"/>
          <w:lang w:eastAsia="tr-TR"/>
        </w:rPr>
        <w:t>“ç) Bağlı menkul kıymetler, iştirakler, bağlı ortaklıklar ve müşterek yönetime tabi teşebbüsler arasında yer alan sigorta, reasürans ve emeklilik şirketlerinin ortaklık payı ile BIST 30 endeksindeki pay senetlerinin brüt teknik karşılıkların %30’unu aşan kısmı, BIST 50 endeksindeki pay senetlerinin brüt teknik karşılıkların %20’sini aşan kısmı, BIST 100 endeksindeki pay senetlerinin brüt teknik karşılıkların %10’unu aşan kısmı ile diğer hisse senetleri (bağlı menkul kıymetler, iştirakler, bağlı ortaklıklar ve müşterek yönetime tabi teşebbüsler dahil) ve diğer değişken getirili finansal varlıkların brüt teknik karşılıkların %5’ini aşan kısmı ve girişim sermayesi yatırım fonu paylarının brüt teknik karşılıkların %2’sini aşan kısmı,”</w:t>
      </w:r>
    </w:p>
    <w:p w14:paraId="04153492" w14:textId="77777777" w:rsidR="00654CFD" w:rsidRDefault="00654CFD" w:rsidP="00654CFD">
      <w:pPr>
        <w:spacing w:line="276" w:lineRule="auto"/>
        <w:ind w:left="170"/>
        <w:rPr>
          <w:kern w:val="0"/>
          <w:lang w:eastAsia="tr-TR"/>
        </w:rPr>
      </w:pPr>
    </w:p>
    <w:p w14:paraId="1B876B4E" w14:textId="13A5A712" w:rsidR="00FB149B" w:rsidRPr="00FB149B" w:rsidRDefault="00FB149B" w:rsidP="00654CFD">
      <w:pPr>
        <w:spacing w:line="276" w:lineRule="auto"/>
        <w:ind w:left="170"/>
        <w:rPr>
          <w:kern w:val="0"/>
          <w:lang w:eastAsia="tr-TR"/>
        </w:rPr>
      </w:pPr>
      <w:r w:rsidRPr="00FB149B">
        <w:rPr>
          <w:b/>
          <w:kern w:val="0"/>
          <w:lang w:eastAsia="tr-TR"/>
        </w:rPr>
        <w:t>MADDE 2 –</w:t>
      </w:r>
      <w:r w:rsidRPr="00FB149B">
        <w:rPr>
          <w:kern w:val="0"/>
          <w:lang w:eastAsia="tr-TR"/>
        </w:rPr>
        <w:t> </w:t>
      </w:r>
      <w:r w:rsidR="00654CFD" w:rsidRPr="00654CFD">
        <w:rPr>
          <w:kern w:val="0"/>
          <w:lang w:eastAsia="tr-TR"/>
        </w:rPr>
        <w:t>Bu Yönetmelik 31/3/2025 tarihinde yürürlüğe girer.</w:t>
      </w:r>
    </w:p>
    <w:p w14:paraId="3AE20138" w14:textId="77777777" w:rsidR="00FB149B" w:rsidRDefault="00FB149B" w:rsidP="00FB149B">
      <w:pPr>
        <w:spacing w:line="276" w:lineRule="auto"/>
        <w:ind w:left="170"/>
        <w:rPr>
          <w:kern w:val="0"/>
          <w:lang w:eastAsia="tr-TR"/>
        </w:rPr>
      </w:pPr>
    </w:p>
    <w:p w14:paraId="512373C7" w14:textId="7092CCBB" w:rsidR="00FB149B" w:rsidRPr="00654CFD" w:rsidRDefault="00FB149B" w:rsidP="00654CFD">
      <w:pPr>
        <w:spacing w:line="276" w:lineRule="auto"/>
        <w:ind w:left="170"/>
        <w:rPr>
          <w:kern w:val="0"/>
          <w:lang w:eastAsia="tr-TR"/>
        </w:rPr>
      </w:pPr>
      <w:r w:rsidRPr="00FB149B">
        <w:rPr>
          <w:b/>
          <w:kern w:val="0"/>
          <w:lang w:eastAsia="tr-TR"/>
        </w:rPr>
        <w:t>MADDE 3 –</w:t>
      </w:r>
      <w:r w:rsidRPr="00FB149B">
        <w:rPr>
          <w:kern w:val="0"/>
          <w:lang w:eastAsia="tr-TR"/>
        </w:rPr>
        <w:t> </w:t>
      </w:r>
      <w:r w:rsidR="00654CFD" w:rsidRPr="00FB149B">
        <w:rPr>
          <w:kern w:val="0"/>
          <w:lang w:eastAsia="tr-TR"/>
        </w:rPr>
        <w:t>Bu Yönetmelik hükümlerini Sigortacılık ve Özel Emeklilik Düzenleme ve Denetleme Kurumu Başkanı yürütür.</w:t>
      </w:r>
    </w:p>
    <w:sectPr w:rsidR="00FB149B" w:rsidRPr="00654C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F0D0" w14:textId="77777777" w:rsidR="00BD1175" w:rsidRDefault="00BD1175" w:rsidP="00FB149B">
      <w:r>
        <w:separator/>
      </w:r>
    </w:p>
  </w:endnote>
  <w:endnote w:type="continuationSeparator" w:id="0">
    <w:p w14:paraId="100CE47E" w14:textId="77777777" w:rsidR="00BD1175" w:rsidRDefault="00BD1175" w:rsidP="00FB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1E97" w14:textId="434B726B" w:rsidR="00FB149B" w:rsidRPr="00B51E1E" w:rsidRDefault="00B51E1E" w:rsidP="00B51E1E">
    <w:pPr>
      <w:pStyle w:val="AltBilgi"/>
      <w:jc w:val="left"/>
    </w:pPr>
    <w:r>
      <w:rPr>
        <w:b/>
        <w:bCs/>
        <w:u w:val="single"/>
      </w:rPr>
      <w:fldChar w:fldCharType="begin" w:fldLock="1"/>
    </w:r>
    <w:r>
      <w:rPr>
        <w:b/>
        <w:bCs/>
        <w:u w:val="single"/>
      </w:rPr>
      <w:instrText xml:space="preserve"> DOCPROPERTY bjFooterEvenPageDocProperty \* MERGEFORMAT </w:instrText>
    </w:r>
    <w:r>
      <w:rPr>
        <w:b/>
        <w:bCs/>
        <w:u w:val="single"/>
      </w:rPr>
      <w:fldChar w:fldCharType="separate"/>
    </w:r>
    <w:r w:rsidRPr="00F023D1">
      <w:rPr>
        <w:rFonts w:ascii="Malgun Gothic" w:eastAsia="Malgun Gothic" w:hAnsi="Malgun Gothic"/>
        <w:b/>
        <w:bCs/>
        <w:color w:val="999999"/>
      </w:rPr>
      <w:t>Sınıflandırma|</w:t>
    </w:r>
    <w:r w:rsidRPr="00F023D1">
      <w:rPr>
        <w:rFonts w:ascii="Malgun Gothic" w:eastAsia="Malgun Gothic" w:hAnsi="Malgun Gothic"/>
        <w:b/>
        <w:bCs/>
        <w:color w:val="339966"/>
      </w:rPr>
      <w:t>Genel</w:t>
    </w:r>
    <w:r>
      <w:rPr>
        <w:b/>
        <w:bCs/>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A4CE" w14:textId="663B98F5" w:rsidR="00FB149B" w:rsidRPr="00B51E1E" w:rsidRDefault="00B51E1E" w:rsidP="00B51E1E">
    <w:pPr>
      <w:pStyle w:val="AltBilgi"/>
      <w:jc w:val="left"/>
    </w:pPr>
    <w:r>
      <w:rPr>
        <w:b/>
        <w:bCs/>
        <w:u w:val="single"/>
      </w:rPr>
      <w:fldChar w:fldCharType="begin" w:fldLock="1"/>
    </w:r>
    <w:r>
      <w:rPr>
        <w:b/>
        <w:bCs/>
        <w:u w:val="single"/>
      </w:rPr>
      <w:instrText xml:space="preserve"> DOCPROPERTY bjFooterBothDocProperty \* MERGEFORMAT </w:instrText>
    </w:r>
    <w:r>
      <w:rPr>
        <w:b/>
        <w:bCs/>
        <w:u w:val="single"/>
      </w:rPr>
      <w:fldChar w:fldCharType="separate"/>
    </w:r>
    <w:r w:rsidRPr="00F023D1">
      <w:rPr>
        <w:rFonts w:ascii="Malgun Gothic" w:eastAsia="Malgun Gothic" w:hAnsi="Malgun Gothic"/>
        <w:b/>
        <w:bCs/>
        <w:color w:val="999999"/>
      </w:rPr>
      <w:t>Sınıflandırma|</w:t>
    </w:r>
    <w:r w:rsidRPr="00F023D1">
      <w:rPr>
        <w:rFonts w:ascii="Malgun Gothic" w:eastAsia="Malgun Gothic" w:hAnsi="Malgun Gothic"/>
        <w:b/>
        <w:bCs/>
        <w:color w:val="339966"/>
      </w:rPr>
      <w:t>Genel</w:t>
    </w:r>
    <w:r>
      <w:rPr>
        <w:b/>
        <w:bCs/>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5CA9" w14:textId="06CF92C5" w:rsidR="00FB149B" w:rsidRPr="00B51E1E" w:rsidRDefault="00B51E1E" w:rsidP="00B51E1E">
    <w:pPr>
      <w:pStyle w:val="AltBilgi"/>
      <w:jc w:val="left"/>
    </w:pPr>
    <w:r>
      <w:rPr>
        <w:b/>
        <w:bCs/>
        <w:u w:val="single"/>
      </w:rPr>
      <w:fldChar w:fldCharType="begin" w:fldLock="1"/>
    </w:r>
    <w:r>
      <w:rPr>
        <w:b/>
        <w:bCs/>
        <w:u w:val="single"/>
      </w:rPr>
      <w:instrText xml:space="preserve"> DOCPROPERTY bjFooterFirstPageDocProperty \* MERGEFORMAT </w:instrText>
    </w:r>
    <w:r>
      <w:rPr>
        <w:b/>
        <w:bCs/>
        <w:u w:val="single"/>
      </w:rPr>
      <w:fldChar w:fldCharType="separate"/>
    </w:r>
    <w:r w:rsidRPr="00F023D1">
      <w:rPr>
        <w:rFonts w:ascii="Malgun Gothic" w:eastAsia="Malgun Gothic" w:hAnsi="Malgun Gothic"/>
        <w:b/>
        <w:bCs/>
        <w:color w:val="999999"/>
      </w:rPr>
      <w:t>Sınıflandırma|</w:t>
    </w:r>
    <w:r w:rsidRPr="00F023D1">
      <w:rPr>
        <w:rFonts w:ascii="Malgun Gothic" w:eastAsia="Malgun Gothic" w:hAnsi="Malgun Gothic"/>
        <w:b/>
        <w:bCs/>
        <w:color w:val="339966"/>
      </w:rPr>
      <w:t>Genel</w:t>
    </w:r>
    <w:r>
      <w:rPr>
        <w:b/>
        <w:bCs/>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2E34" w14:textId="77777777" w:rsidR="00BD1175" w:rsidRDefault="00BD1175" w:rsidP="00FB149B">
      <w:r>
        <w:separator/>
      </w:r>
    </w:p>
  </w:footnote>
  <w:footnote w:type="continuationSeparator" w:id="0">
    <w:p w14:paraId="4E87262B" w14:textId="77777777" w:rsidR="00BD1175" w:rsidRDefault="00BD1175" w:rsidP="00FB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C115" w14:textId="77777777" w:rsidR="00FB149B" w:rsidRDefault="00FB149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98FE" w14:textId="77777777" w:rsidR="00FB149B" w:rsidRDefault="00FB149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84F0" w14:textId="77777777" w:rsidR="00FB149B" w:rsidRDefault="00FB149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5B"/>
    <w:rsid w:val="00307D5B"/>
    <w:rsid w:val="00626E7B"/>
    <w:rsid w:val="00654CFD"/>
    <w:rsid w:val="00B51E1E"/>
    <w:rsid w:val="00BD1175"/>
    <w:rsid w:val="00FB14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2AF34"/>
  <w15:chartTrackingRefBased/>
  <w15:docId w15:val="{1682D65F-230B-47A4-9A5B-3A76DAF5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9B"/>
    <w:pPr>
      <w:spacing w:after="0" w:line="240" w:lineRule="auto"/>
      <w:jc w:val="both"/>
    </w:pPr>
    <w:rPr>
      <w:rFonts w:ascii="Arial" w:hAnsi="Arial" w:cs="Arial"/>
      <w:color w:val="000000"/>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FB149B"/>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FB149B"/>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rame">
    <w:name w:val="grame"/>
    <w:basedOn w:val="VarsaylanParagrafYazTipi"/>
    <w:rsid w:val="00FB149B"/>
  </w:style>
  <w:style w:type="character" w:customStyle="1" w:styleId="spelle">
    <w:name w:val="spelle"/>
    <w:basedOn w:val="VarsaylanParagrafYazTipi"/>
    <w:rsid w:val="00FB149B"/>
  </w:style>
  <w:style w:type="paragraph" w:styleId="stBilgi">
    <w:name w:val="header"/>
    <w:basedOn w:val="Normal"/>
    <w:link w:val="stBilgiChar"/>
    <w:uiPriority w:val="99"/>
    <w:unhideWhenUsed/>
    <w:rsid w:val="00FB149B"/>
    <w:pPr>
      <w:tabs>
        <w:tab w:val="center" w:pos="4536"/>
        <w:tab w:val="right" w:pos="9072"/>
      </w:tabs>
    </w:pPr>
  </w:style>
  <w:style w:type="character" w:customStyle="1" w:styleId="stBilgiChar">
    <w:name w:val="Üst Bilgi Char"/>
    <w:basedOn w:val="VarsaylanParagrafYazTipi"/>
    <w:link w:val="stBilgi"/>
    <w:uiPriority w:val="99"/>
    <w:rsid w:val="00FB149B"/>
    <w:rPr>
      <w:rFonts w:ascii="Arial" w:hAnsi="Arial" w:cs="Arial"/>
      <w:color w:val="000000"/>
      <w:kern w:val="16"/>
      <w:sz w:val="20"/>
      <w:szCs w:val="20"/>
    </w:rPr>
  </w:style>
  <w:style w:type="paragraph" w:styleId="AltBilgi">
    <w:name w:val="footer"/>
    <w:basedOn w:val="Normal"/>
    <w:link w:val="AltBilgiChar"/>
    <w:uiPriority w:val="99"/>
    <w:unhideWhenUsed/>
    <w:rsid w:val="00FB149B"/>
    <w:pPr>
      <w:tabs>
        <w:tab w:val="center" w:pos="4536"/>
        <w:tab w:val="right" w:pos="9072"/>
      </w:tabs>
    </w:pPr>
  </w:style>
  <w:style w:type="character" w:customStyle="1" w:styleId="AltBilgiChar">
    <w:name w:val="Alt Bilgi Char"/>
    <w:basedOn w:val="VarsaylanParagrafYazTipi"/>
    <w:link w:val="AltBilgi"/>
    <w:uiPriority w:val="99"/>
    <w:rsid w:val="00FB149B"/>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BB98B9C-A3F8-43EA-9A52-76E478DF975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1544</Characters>
  <Application>Microsoft Office Word</Application>
  <DocSecurity>0</DocSecurity>
  <Lines>29</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Cemile AVCI</cp:lastModifiedBy>
  <cp:revision>4</cp:revision>
  <cp:lastPrinted>2025-01-02T08:27:00Z</cp:lastPrinted>
  <dcterms:created xsi:type="dcterms:W3CDTF">2025-01-02T08:27:00Z</dcterms:created>
  <dcterms:modified xsi:type="dcterms:W3CDTF">2025-01-02T08:27:00Z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f2f4c237-eec6-4152-bd1d-febe00a2b877</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