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B35FD" w14:textId="77777777" w:rsidR="00F01556" w:rsidRPr="005528D6" w:rsidRDefault="00F01556" w:rsidP="00F01556">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29454</w:t>
      </w:r>
    </w:p>
    <w:p w14:paraId="5E62F397" w14:textId="77777777" w:rsidR="00F01556" w:rsidRPr="005528D6" w:rsidRDefault="00F01556" w:rsidP="00F01556">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23.08.2015</w:t>
      </w:r>
    </w:p>
    <w:p w14:paraId="1527C90A" w14:textId="77777777" w:rsidR="00F01556" w:rsidRPr="004B339D" w:rsidRDefault="00F01556" w:rsidP="00F015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00FD1D62" w14:textId="77777777" w:rsidR="00F01556" w:rsidRDefault="00F01556" w:rsidP="00F01556">
      <w:pPr>
        <w:pStyle w:val="Balk2"/>
      </w:pPr>
      <w:bookmarkStart w:id="0" w:name="_Toc10203343"/>
      <w:bookmarkStart w:id="1" w:name="_Toc105418587"/>
      <w:r w:rsidRPr="00DD5E2A">
        <w:t>SİGORTA VE REASÜRANS İLE EMEKLİLİK ŞİRKETLERİNİN TEKNİK KARŞILIKLARINA VE BU KARŞILIKLARIN YATIRILACAĞI VARLIKLARA İLİŞKİN YÖNETMELİKTE DEĞİŞİKLİK YAPILMASINA DAİR YÖNETMELİK</w:t>
      </w:r>
      <w:bookmarkEnd w:id="0"/>
      <w:bookmarkEnd w:id="1"/>
      <w:r>
        <w:t xml:space="preserve"> </w:t>
      </w:r>
    </w:p>
    <w:p w14:paraId="1A2DC1E0" w14:textId="54AF6319" w:rsidR="00F01556" w:rsidRDefault="00F01556" w:rsidP="00F01556">
      <w:pPr>
        <w:pStyle w:val="Balk2"/>
      </w:pPr>
      <w:r>
        <w:t>(</w:t>
      </w:r>
      <w:r>
        <w:t>İLGİLİ MADDELER</w:t>
      </w:r>
      <w:r>
        <w:t>)</w:t>
      </w:r>
    </w:p>
    <w:p w14:paraId="67799FE1" w14:textId="42002666"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1ACDF3F8"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6873672B"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MADDE 1 –</w:t>
      </w:r>
      <w:r w:rsidRPr="00F01556">
        <w:rPr>
          <w:rFonts w:ascii="Arial" w:eastAsiaTheme="minorHAnsi" w:hAnsi="Arial" w:cs="Arial"/>
          <w:noProof w:val="0"/>
          <w:color w:val="000000"/>
          <w:kern w:val="0"/>
          <w:position w:val="0"/>
          <w:sz w:val="20"/>
          <w:szCs w:val="20"/>
          <w:lang w:eastAsia="tr-TR"/>
        </w:rPr>
        <w:t xml:space="preserve"> 7/8/2007 tarihli ve 26606 sayılı Resmî Gazete’de yayımlanan Sigorta ve Reasürans ile Emeklilik Şirketlerinin Teknik Karşılıklarına ve Bu Karşılıkların Yatırılacağı Varlıklara İlişkin Yönetmeliğin 4 üncü maddesinin birinci fıkrasının (c) bendi aşağıdaki şekilde değiştirilmiştir.</w:t>
      </w:r>
    </w:p>
    <w:p w14:paraId="2E49D0B0"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“c) Destek hizmetleri: İlgili mevzuat ile tanımlanan hizmetleri,”</w:t>
      </w:r>
    </w:p>
    <w:p w14:paraId="4981B731" w14:textId="77777777"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60D7B146" w14:textId="6A152D8F"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 xml:space="preserve">MADDE 3 – </w:t>
      </w:r>
      <w:r w:rsidRPr="00F01556">
        <w:rPr>
          <w:rFonts w:ascii="Arial" w:eastAsiaTheme="minorHAnsi" w:hAnsi="Arial" w:cs="Arial"/>
          <w:noProof w:val="0"/>
          <w:color w:val="000000"/>
          <w:kern w:val="0"/>
          <w:position w:val="0"/>
          <w:sz w:val="20"/>
          <w:szCs w:val="20"/>
          <w:lang w:eastAsia="tr-TR"/>
        </w:rPr>
        <w:t>Aynı Yönetmeliğin 10 uncu maddesinin ikinci fıkrası aşağıdaki şekilde değiştirilmiştir.</w:t>
      </w:r>
    </w:p>
    <w:p w14:paraId="4DB8B341"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“(2) İkramiyeler ve indirimler cari hesap dönemi içinde lehtar veya sigortalının lehine tahakkuk etmiş ve ödenmiş ya da ödenecek tüm tutarları kapsar. Bu ödeme, sigortalının ilerideki primlerinden indirim veya matematik karşılıklarında artırım yapılarak ya da nakden gerçekleştirilir. Şirketler, taahhütte bulundukları ik</w:t>
      </w:r>
      <w:bookmarkStart w:id="2" w:name="_GoBack"/>
      <w:bookmarkEnd w:id="2"/>
      <w:r w:rsidRPr="00F01556">
        <w:rPr>
          <w:rFonts w:ascii="Arial" w:eastAsiaTheme="minorHAnsi" w:hAnsi="Arial" w:cs="Arial"/>
          <w:noProof w:val="0"/>
          <w:color w:val="000000"/>
          <w:kern w:val="0"/>
          <w:position w:val="0"/>
          <w:sz w:val="20"/>
          <w:szCs w:val="20"/>
          <w:lang w:eastAsia="tr-TR"/>
        </w:rPr>
        <w:t>ramiye ve indirime ilişkin esasları sözleşmede belirtmek zorundadır.”</w:t>
      </w:r>
    </w:p>
    <w:p w14:paraId="75449AC8" w14:textId="77777777"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41C1A2E0" w14:textId="105DB064"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MADDE 4 –</w:t>
      </w:r>
      <w:r w:rsidRPr="00F01556">
        <w:rPr>
          <w:rFonts w:ascii="Arial" w:eastAsiaTheme="minorHAnsi" w:hAnsi="Arial" w:cs="Arial"/>
          <w:noProof w:val="0"/>
          <w:color w:val="000000"/>
          <w:kern w:val="0"/>
          <w:position w:val="0"/>
          <w:sz w:val="20"/>
          <w:szCs w:val="20"/>
          <w:lang w:eastAsia="tr-TR"/>
        </w:rPr>
        <w:t xml:space="preserve"> Aynı Yönetmeliğin 11 inci maddesinin ikinci fıkrasının (d) bendi aşağıdaki şekilde değiştirilmiş, aynı fıkraya aşağıdaki bentler eklenmiş ve yedinci fıkrası aşağıdaki şekilde değiştirilmiştir.</w:t>
      </w:r>
    </w:p>
    <w:p w14:paraId="3C92322F"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“d) Kredi kartı bloke hesapları (bireysel emeklilik katkı payları hariç),”</w:t>
      </w:r>
    </w:p>
    <w:p w14:paraId="4F9C0180"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“n) Kira sertifikaları,”</w:t>
      </w:r>
    </w:p>
    <w:p w14:paraId="2EF26FD5" w14:textId="63F2DC2C"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“o) Müsteşarlıkça</w:t>
      </w:r>
      <w:r>
        <w:rPr>
          <w:rFonts w:ascii="Arial" w:eastAsiaTheme="minorHAnsi" w:hAnsi="Arial" w:cs="Arial"/>
          <w:noProof w:val="0"/>
          <w:color w:val="000000"/>
          <w:kern w:val="0"/>
          <w:position w:val="0"/>
          <w:sz w:val="20"/>
          <w:szCs w:val="20"/>
          <w:lang w:eastAsia="tr-TR"/>
        </w:rPr>
        <w:t xml:space="preserve"> </w:t>
      </w:r>
      <w:r w:rsidRPr="00F01556">
        <w:rPr>
          <w:rFonts w:ascii="Arial" w:eastAsiaTheme="minorHAnsi" w:hAnsi="Arial" w:cs="Arial"/>
          <w:b/>
          <w:noProof w:val="0"/>
          <w:color w:val="000000"/>
          <w:kern w:val="0"/>
          <w:position w:val="0"/>
          <w:sz w:val="20"/>
          <w:szCs w:val="20"/>
          <w:lang w:eastAsia="tr-TR"/>
        </w:rPr>
        <w:t>(Değişik ibare:RG-10/11/2021-31655- Kurulca)</w:t>
      </w:r>
      <w:r w:rsidRPr="00F01556">
        <w:rPr>
          <w:rFonts w:ascii="Arial" w:eastAsiaTheme="minorHAnsi" w:hAnsi="Arial" w:cs="Arial"/>
          <w:noProof w:val="0"/>
          <w:color w:val="000000"/>
          <w:kern w:val="0"/>
          <w:position w:val="0"/>
          <w:sz w:val="20"/>
          <w:szCs w:val="20"/>
          <w:lang w:eastAsia="tr-TR"/>
        </w:rPr>
        <w:t xml:space="preserve"> belirlenecek kalkınma bankalarınca ihraç edilen borçlanma araçları.”</w:t>
      </w:r>
    </w:p>
    <w:p w14:paraId="25B8FA2C"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“(7) Şirketler, matematik karşılıkları ikinci fıkranın (k) ve (l), kâr payı verilen hayat grubu sigortalarına ilişkin teknik karşılıkları ikinci fıkranın (d), (i) ve (m) bentlerinde belirtilen varlıklara yatıramaz.”</w:t>
      </w:r>
    </w:p>
    <w:p w14:paraId="3C23642A" w14:textId="77777777"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446241E0" w14:textId="4FD1BBED"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MADDE 5 –</w:t>
      </w:r>
      <w:r w:rsidRPr="00F01556">
        <w:rPr>
          <w:rFonts w:ascii="Arial" w:eastAsiaTheme="minorHAnsi" w:hAnsi="Arial" w:cs="Arial"/>
          <w:noProof w:val="0"/>
          <w:color w:val="000000"/>
          <w:kern w:val="0"/>
          <w:position w:val="0"/>
          <w:sz w:val="20"/>
          <w:szCs w:val="20"/>
          <w:lang w:eastAsia="tr-TR"/>
        </w:rPr>
        <w:t xml:space="preserve"> Aynı Yönetmeliğin 13 üncü maddesinin birinci fıkrasının (g) ve (ğ) bentleri aşağıdaki şekilde değiştirilmiş ve aynı maddeye aşağıdaki fıkra eklenmiştir.</w:t>
      </w:r>
    </w:p>
    <w:p w14:paraId="08860AB1" w14:textId="34C67CC5"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“g) Teminat olarak alınan hazine bonosu, devlet tahvili, mevduat, nakit ve dövizler ile banka teminat mektupları ve yapılan kefalet sigortası bedelleri düşülmek üzere banka</w:t>
      </w:r>
      <w:r>
        <w:rPr>
          <w:rFonts w:ascii="Arial" w:eastAsiaTheme="minorHAnsi" w:hAnsi="Arial" w:cs="Arial"/>
          <w:noProof w:val="0"/>
          <w:color w:val="000000"/>
          <w:kern w:val="0"/>
          <w:position w:val="0"/>
          <w:sz w:val="20"/>
          <w:szCs w:val="20"/>
          <w:lang w:eastAsia="tr-TR"/>
        </w:rPr>
        <w:t xml:space="preserve"> </w:t>
      </w:r>
      <w:r w:rsidRPr="00F01556">
        <w:rPr>
          <w:rFonts w:ascii="Arial" w:eastAsiaTheme="minorHAnsi" w:hAnsi="Arial" w:cs="Arial"/>
          <w:b/>
          <w:noProof w:val="0"/>
          <w:color w:val="000000"/>
          <w:kern w:val="0"/>
          <w:position w:val="0"/>
          <w:sz w:val="20"/>
          <w:szCs w:val="20"/>
          <w:lang w:eastAsia="tr-TR"/>
        </w:rPr>
        <w:t>(Değişik ibare:RG-10/11/2021-31655- ile 21/11/2012 tarihli ve 6361 sayılı Finansal Kiralama, Faktoring, Finansman ve Tasarruf Finansman Şirketleri Kanunu uyarınca sigorta acenteliği yapma yetkisi tanınan finansal kiralama ve finansman şirketlerinden)</w:t>
      </w:r>
      <w:r w:rsidRPr="00F01556">
        <w:rPr>
          <w:rFonts w:ascii="Arial" w:eastAsiaTheme="minorHAnsi" w:hAnsi="Arial" w:cs="Arial"/>
          <w:noProof w:val="0"/>
          <w:color w:val="000000"/>
          <w:kern w:val="0"/>
          <w:position w:val="0"/>
          <w:sz w:val="20"/>
          <w:szCs w:val="20"/>
          <w:lang w:eastAsia="tr-TR"/>
        </w:rPr>
        <w:t xml:space="preserve"> ve benzeri kurumsal aracılardan alacakların brüt teknik karşılıkların %20’sini, diğer aracılardan alacakların ise brüt teknik karşılıkların %5’ini aşan kısmı,”</w:t>
      </w:r>
    </w:p>
    <w:p w14:paraId="1954D363" w14:textId="77777777"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“ğ) Poliçe mukabili ikrazlar ile kredi kartı bloke hesapları hariç, teminat olarak alınan hazine bonosu, devlet tahvili, mevduat, nakit ve dövizler ile banka teminat mektupları ve yapılan kefalet sigortası bedelleri düşülmek üzere aracılık yapan bankalardan alacaklar ile (g) bendine göre bir aracıdan olan alacağın teknik karşılıklara karşılık olarak kabul edilmeyen kısmı hariç, esas faaliyetlerden alacakların brüt teknik karşılıkların %25’ini aşan kısmı,”</w:t>
      </w:r>
    </w:p>
    <w:p w14:paraId="663E4173" w14:textId="3DAD5F6B"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noProof w:val="0"/>
          <w:color w:val="000000"/>
          <w:kern w:val="0"/>
          <w:position w:val="0"/>
          <w:sz w:val="20"/>
          <w:szCs w:val="20"/>
          <w:lang w:eastAsia="tr-TR"/>
        </w:rPr>
        <w:t>“(10) Müsteşarlık</w:t>
      </w:r>
      <w:r>
        <w:rPr>
          <w:rFonts w:ascii="Arial" w:eastAsiaTheme="minorHAnsi" w:hAnsi="Arial" w:cs="Arial"/>
          <w:noProof w:val="0"/>
          <w:color w:val="000000"/>
          <w:kern w:val="0"/>
          <w:position w:val="0"/>
          <w:sz w:val="20"/>
          <w:szCs w:val="20"/>
          <w:lang w:eastAsia="tr-TR"/>
        </w:rPr>
        <w:t xml:space="preserve"> </w:t>
      </w:r>
      <w:r w:rsidRPr="00F01556">
        <w:rPr>
          <w:rFonts w:ascii="Arial" w:eastAsiaTheme="minorHAnsi" w:hAnsi="Arial" w:cs="Arial"/>
          <w:b/>
          <w:noProof w:val="0"/>
          <w:color w:val="000000"/>
          <w:kern w:val="0"/>
          <w:position w:val="0"/>
          <w:sz w:val="20"/>
          <w:szCs w:val="20"/>
          <w:lang w:eastAsia="tr-TR"/>
        </w:rPr>
        <w:t>(Değişik ibare:RG-10/11/2021-31655- Kurulca)</w:t>
      </w:r>
      <w:r w:rsidRPr="00F01556">
        <w:rPr>
          <w:rFonts w:ascii="Arial" w:eastAsiaTheme="minorHAnsi" w:hAnsi="Arial" w:cs="Arial"/>
          <w:noProof w:val="0"/>
          <w:color w:val="000000"/>
          <w:kern w:val="0"/>
          <w:position w:val="0"/>
          <w:sz w:val="20"/>
          <w:szCs w:val="20"/>
          <w:lang w:eastAsia="tr-TR"/>
        </w:rPr>
        <w:t>, belirleyeceği esaslar çerçevesinde bu Yönetmelikte geçen oran ve tutarları %50’sine kadar (%50 dâhil) artırabilir veya azaltabilir.”</w:t>
      </w:r>
    </w:p>
    <w:p w14:paraId="09DF7B07" w14:textId="77777777"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7D61B35D" w14:textId="3F325B25" w:rsidR="00F01556"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MADDE 6 –</w:t>
      </w:r>
      <w:r w:rsidRPr="00F01556">
        <w:rPr>
          <w:rFonts w:ascii="Arial" w:eastAsiaTheme="minorHAnsi" w:hAnsi="Arial" w:cs="Arial"/>
          <w:noProof w:val="0"/>
          <w:color w:val="000000"/>
          <w:kern w:val="0"/>
          <w:position w:val="0"/>
          <w:sz w:val="20"/>
          <w:szCs w:val="20"/>
          <w:lang w:eastAsia="tr-TR"/>
        </w:rPr>
        <w:t xml:space="preserve"> Bu Yönetmelik yayımı tarihinde yürürlüğe girer.</w:t>
      </w:r>
    </w:p>
    <w:p w14:paraId="7D993B90" w14:textId="77777777" w:rsid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p>
    <w:p w14:paraId="0D50AE4D" w14:textId="5D7F7430" w:rsidR="00626E7B" w:rsidRPr="00F01556" w:rsidRDefault="00F01556" w:rsidP="00F01556">
      <w:pPr>
        <w:spacing w:line="276" w:lineRule="auto"/>
        <w:ind w:left="170"/>
        <w:rPr>
          <w:rFonts w:ascii="Arial" w:eastAsiaTheme="minorHAnsi" w:hAnsi="Arial" w:cs="Arial"/>
          <w:noProof w:val="0"/>
          <w:color w:val="000000"/>
          <w:kern w:val="0"/>
          <w:position w:val="0"/>
          <w:sz w:val="20"/>
          <w:szCs w:val="20"/>
          <w:lang w:eastAsia="tr-TR"/>
        </w:rPr>
      </w:pPr>
      <w:r w:rsidRPr="00F01556">
        <w:rPr>
          <w:rFonts w:ascii="Arial" w:eastAsiaTheme="minorHAnsi" w:hAnsi="Arial" w:cs="Arial"/>
          <w:b/>
          <w:noProof w:val="0"/>
          <w:color w:val="000000"/>
          <w:kern w:val="0"/>
          <w:position w:val="0"/>
          <w:sz w:val="20"/>
          <w:szCs w:val="20"/>
          <w:lang w:eastAsia="tr-TR"/>
        </w:rPr>
        <w:t>MADDE 7 –</w:t>
      </w:r>
      <w:r w:rsidRPr="00F01556">
        <w:rPr>
          <w:rFonts w:ascii="Arial" w:eastAsiaTheme="minorHAnsi" w:hAnsi="Arial" w:cs="Arial"/>
          <w:noProof w:val="0"/>
          <w:color w:val="000000"/>
          <w:kern w:val="0"/>
          <w:position w:val="0"/>
          <w:sz w:val="20"/>
          <w:szCs w:val="20"/>
          <w:lang w:eastAsia="tr-TR"/>
        </w:rPr>
        <w:t xml:space="preserve"> Bu Yönetmelik hükümlerini Hazine Müsteşarlığının bağlı bulunduğu Bakan yürütür</w:t>
      </w:r>
      <w:r>
        <w:rPr>
          <w:rFonts w:ascii="Arial" w:eastAsiaTheme="minorHAnsi" w:hAnsi="Arial" w:cs="Arial"/>
          <w:noProof w:val="0"/>
          <w:color w:val="000000"/>
          <w:kern w:val="0"/>
          <w:position w:val="0"/>
          <w:sz w:val="20"/>
          <w:szCs w:val="20"/>
          <w:lang w:eastAsia="tr-TR"/>
        </w:rPr>
        <w:t>.</w:t>
      </w:r>
    </w:p>
    <w:sectPr w:rsidR="00626E7B" w:rsidRPr="00F015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9FBF" w14:textId="77777777" w:rsidR="00F01556" w:rsidRDefault="00F01556" w:rsidP="00F01556">
      <w:r>
        <w:separator/>
      </w:r>
    </w:p>
  </w:endnote>
  <w:endnote w:type="continuationSeparator" w:id="0">
    <w:p w14:paraId="010BA884" w14:textId="77777777" w:rsidR="00F01556" w:rsidRDefault="00F01556" w:rsidP="00F0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6AC9" w14:textId="69A104CC" w:rsidR="00F01556" w:rsidRPr="00356995" w:rsidRDefault="00356995" w:rsidP="00356995">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8D84" w14:textId="023055A7" w:rsidR="00F01556" w:rsidRPr="00356995" w:rsidRDefault="00356995" w:rsidP="00356995">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60CB" w14:textId="6161BFC5" w:rsidR="00F01556" w:rsidRPr="00356995" w:rsidRDefault="00356995" w:rsidP="00356995">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A435" w14:textId="77777777" w:rsidR="00F01556" w:rsidRDefault="00F01556" w:rsidP="00F01556">
      <w:r>
        <w:separator/>
      </w:r>
    </w:p>
  </w:footnote>
  <w:footnote w:type="continuationSeparator" w:id="0">
    <w:p w14:paraId="3C237D72" w14:textId="77777777" w:rsidR="00F01556" w:rsidRDefault="00F01556" w:rsidP="00F0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FB60" w14:textId="77777777" w:rsidR="00F01556" w:rsidRDefault="00F015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0971" w14:textId="77777777" w:rsidR="00F01556" w:rsidRDefault="00F0155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93A1" w14:textId="77777777" w:rsidR="00F01556" w:rsidRDefault="00F0155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9D"/>
    <w:rsid w:val="00356995"/>
    <w:rsid w:val="003A619D"/>
    <w:rsid w:val="00626E7B"/>
    <w:rsid w:val="00F01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93D7"/>
  <w15:chartTrackingRefBased/>
  <w15:docId w15:val="{2F8B06F1-492C-46E2-825B-80A226A0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556"/>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F01556"/>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1556"/>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F01556"/>
    <w:pPr>
      <w:tabs>
        <w:tab w:val="center" w:pos="4536"/>
        <w:tab w:val="right" w:pos="9072"/>
      </w:tabs>
    </w:pPr>
  </w:style>
  <w:style w:type="character" w:customStyle="1" w:styleId="stBilgiChar">
    <w:name w:val="Üst Bilgi Char"/>
    <w:basedOn w:val="VarsaylanParagrafYazTipi"/>
    <w:link w:val="stBilgi"/>
    <w:uiPriority w:val="99"/>
    <w:rsid w:val="00F01556"/>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01556"/>
    <w:pPr>
      <w:tabs>
        <w:tab w:val="center" w:pos="4536"/>
        <w:tab w:val="right" w:pos="9072"/>
      </w:tabs>
    </w:pPr>
  </w:style>
  <w:style w:type="character" w:customStyle="1" w:styleId="AltBilgiChar">
    <w:name w:val="Alt Bilgi Char"/>
    <w:basedOn w:val="VarsaylanParagrafYazTipi"/>
    <w:link w:val="AltBilgi"/>
    <w:uiPriority w:val="99"/>
    <w:rsid w:val="00F01556"/>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61E954A-09D9-4538-8EA3-2B1454F7E7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2023-04-10T11:00:00Z</cp:lastPrinted>
  <dcterms:created xsi:type="dcterms:W3CDTF">2023-04-10T10:57:00Z</dcterms:created>
  <dcterms:modified xsi:type="dcterms:W3CDTF">2023-04-10T11:01:00Z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7edca0be-4d69-4223-b0fe-94ddf8d52389</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