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3DB4C" w14:textId="0E6DD98C" w:rsidR="004B339D" w:rsidRPr="005528D6" w:rsidRDefault="004B339D" w:rsidP="004B339D">
      <w:pPr>
        <w:widowControl w:val="0"/>
        <w:ind w:left="170" w:right="170"/>
        <w:rPr>
          <w:rFonts w:ascii="Arial" w:eastAsiaTheme="minorHAnsi" w:hAnsi="Arial" w:cs="Arial"/>
          <w:b/>
          <w:bCs/>
          <w:noProof w:val="0"/>
          <w:color w:val="000000"/>
          <w:position w:val="0"/>
          <w:sz w:val="20"/>
          <w:szCs w:val="20"/>
        </w:rPr>
      </w:pPr>
      <w:bookmarkStart w:id="0" w:name="_Toc10203330"/>
      <w:bookmarkStart w:id="1" w:name="_Toc105418575"/>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283</w:t>
      </w:r>
      <w:r>
        <w:rPr>
          <w:rFonts w:ascii="Arial" w:eastAsiaTheme="minorHAnsi" w:hAnsi="Arial" w:cs="Arial"/>
          <w:bCs/>
          <w:noProof w:val="0"/>
          <w:color w:val="000000"/>
          <w:position w:val="0"/>
          <w:sz w:val="20"/>
          <w:szCs w:val="20"/>
        </w:rPr>
        <w:t>56</w:t>
      </w:r>
    </w:p>
    <w:p w14:paraId="4840D43E" w14:textId="52DD9A92" w:rsidR="004B339D" w:rsidRPr="005528D6" w:rsidRDefault="004B339D" w:rsidP="004B339D">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17</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7</w:t>
      </w:r>
      <w:r>
        <w:rPr>
          <w:rFonts w:ascii="Arial" w:eastAsiaTheme="minorHAnsi" w:hAnsi="Arial" w:cs="Arial"/>
          <w:bCs/>
          <w:noProof w:val="0"/>
          <w:color w:val="000000"/>
          <w:position w:val="0"/>
          <w:sz w:val="20"/>
          <w:szCs w:val="20"/>
        </w:rPr>
        <w:t>.201</w:t>
      </w:r>
      <w:r>
        <w:rPr>
          <w:rFonts w:ascii="Arial" w:eastAsiaTheme="minorHAnsi" w:hAnsi="Arial" w:cs="Arial"/>
          <w:bCs/>
          <w:noProof w:val="0"/>
          <w:color w:val="000000"/>
          <w:position w:val="0"/>
          <w:sz w:val="20"/>
          <w:szCs w:val="20"/>
        </w:rPr>
        <w:t>2</w:t>
      </w:r>
    </w:p>
    <w:p w14:paraId="44A0DCCF" w14:textId="7D0DFECB" w:rsidR="004B339D" w:rsidRPr="004B339D" w:rsidRDefault="004B339D" w:rsidP="004B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7A4118EA" w14:textId="77777777" w:rsidR="004B339D" w:rsidRDefault="004B339D" w:rsidP="004B339D">
      <w:pPr>
        <w:pStyle w:val="Balk2"/>
        <w:spacing w:line="276" w:lineRule="auto"/>
      </w:pPr>
      <w:r w:rsidRPr="003D522D">
        <w:t>SİGORTA VE REASÜRANS İLE EMEKLİLİK ŞİRKETLERİNİN TEKNİK KARŞILIKLARINA VE BU KARŞILIKLARIN YATIRILACAĞI VARLIKLARA İLİŞKİN YÖNETMELİKTE DEĞİŞİKLİK YAPILMASINA DAİR YÖNETMELİK</w:t>
      </w:r>
      <w:bookmarkEnd w:id="0"/>
      <w:bookmarkEnd w:id="1"/>
      <w:r>
        <w:t xml:space="preserve"> </w:t>
      </w:r>
    </w:p>
    <w:p w14:paraId="415EF3B6" w14:textId="2E65D174" w:rsidR="004B339D" w:rsidRDefault="004B339D" w:rsidP="004B339D">
      <w:pPr>
        <w:pStyle w:val="Balk2"/>
        <w:spacing w:line="276" w:lineRule="auto"/>
      </w:pPr>
      <w:r>
        <w:t>(</w:t>
      </w:r>
      <w:r>
        <w:t>İLGİLİ MADDELER</w:t>
      </w:r>
      <w:r>
        <w:t>)</w:t>
      </w:r>
    </w:p>
    <w:p w14:paraId="72B87018" w14:textId="238B28A7" w:rsidR="004B339D" w:rsidRDefault="004B339D" w:rsidP="004B339D">
      <w:pPr>
        <w:tabs>
          <w:tab w:val="left" w:pos="566"/>
        </w:tabs>
        <w:spacing w:line="240" w:lineRule="exact"/>
        <w:rPr>
          <w:rFonts w:ascii="Arial" w:hAnsi="Arial" w:cs="Arial"/>
          <w:position w:val="0"/>
          <w:sz w:val="20"/>
          <w:szCs w:val="20"/>
        </w:rPr>
      </w:pPr>
    </w:p>
    <w:p w14:paraId="2CA35B05" w14:textId="77777777" w:rsidR="004B339D" w:rsidRDefault="004B339D" w:rsidP="004B339D">
      <w:pPr>
        <w:tabs>
          <w:tab w:val="left" w:pos="566"/>
        </w:tabs>
        <w:spacing w:line="240" w:lineRule="exact"/>
        <w:rPr>
          <w:rFonts w:ascii="Arial" w:hAnsi="Arial" w:cs="Arial"/>
          <w:position w:val="0"/>
          <w:sz w:val="20"/>
          <w:szCs w:val="20"/>
        </w:rPr>
      </w:pPr>
    </w:p>
    <w:p w14:paraId="28B146E6" w14:textId="7BEF39D9"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b/>
          <w:noProof w:val="0"/>
          <w:color w:val="000000"/>
          <w:kern w:val="0"/>
          <w:position w:val="0"/>
          <w:sz w:val="20"/>
          <w:szCs w:val="20"/>
          <w:lang w:eastAsia="tr-TR"/>
        </w:rPr>
        <w:t>MADDE 1 –</w:t>
      </w:r>
      <w:r w:rsidRPr="004B339D">
        <w:rPr>
          <w:rFonts w:ascii="Arial" w:eastAsiaTheme="minorHAnsi" w:hAnsi="Arial" w:cs="Arial"/>
          <w:noProof w:val="0"/>
          <w:color w:val="000000"/>
          <w:kern w:val="0"/>
          <w:position w:val="0"/>
          <w:sz w:val="20"/>
          <w:szCs w:val="20"/>
          <w:lang w:eastAsia="tr-TR"/>
        </w:rPr>
        <w:t xml:space="preserve"> 7/8/2007 tarihli ve 26606 sayılı Resmî Gazete’de yayımlanan Sigorta ve Reasürans ile Emeklilik Şirketlerinin Teknik Karşılıklarına ve Bu Karşılıkların Yatırılacağı Varlıklara İlişkin Yönetmeliğin 4 üncü maddesinin birinci fıkrasına (d) bendinden sonra gelmek üzere aşağıdaki bent eklenmiş ve diğer bentler buna göre teselsül ettirilmiştir.</w:t>
      </w:r>
    </w:p>
    <w:p w14:paraId="33F9BAE6" w14:textId="77777777"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“e) Masraf payları: Gider payları ile istihsal masrafını,”</w:t>
      </w:r>
    </w:p>
    <w:p w14:paraId="4B75E237" w14:textId="77777777" w:rsid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p>
    <w:p w14:paraId="0E83DF20" w14:textId="273F88F5"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b/>
          <w:noProof w:val="0"/>
          <w:color w:val="000000"/>
          <w:kern w:val="0"/>
          <w:position w:val="0"/>
          <w:sz w:val="20"/>
          <w:szCs w:val="20"/>
          <w:lang w:eastAsia="tr-TR"/>
        </w:rPr>
        <w:t>MADDE 2 –</w:t>
      </w:r>
      <w:r w:rsidRPr="004B339D">
        <w:rPr>
          <w:rFonts w:ascii="Arial" w:eastAsiaTheme="minorHAnsi" w:hAnsi="Arial" w:cs="Arial"/>
          <w:noProof w:val="0"/>
          <w:color w:val="000000"/>
          <w:kern w:val="0"/>
          <w:position w:val="0"/>
          <w:sz w:val="20"/>
          <w:szCs w:val="20"/>
          <w:lang w:eastAsia="tr-TR"/>
        </w:rPr>
        <w:t xml:space="preserve"> Aynı Yönetmeliğin 5 inci maddesinin dördüncü fıkrası aşağıdaki şekilde değiştirilmiştir.</w:t>
      </w:r>
    </w:p>
    <w:p w14:paraId="741392BB" w14:textId="77777777"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“(4) Kazanılmamış primler karşılığı, yürürlükte bulunan sigorta sözleşmeleri için tahakkuk etmiş primlerin herhangi bir komisyon veya diğer bir indirim yapılmaksızın brüt olarak, gün esasına göre ertesi hesap dönemi veya hesap dönemlerine sarkan kısmından oluşur. Yürürlükte bulunan yıllık hayat sigortaları ile süresi bir yılı aşan birikim priminin de alındığı hayat sigortalarında ise yazılan brüt primlerden varsa birikime ayrılan kısım ve birikim primlerine ait masraf payları düşüldükten sonra kalan tutar üzerinden hesaplanır.”</w:t>
      </w:r>
    </w:p>
    <w:p w14:paraId="78437B7C" w14:textId="77777777" w:rsidR="004B339D" w:rsidRDefault="004B339D" w:rsidP="004B339D">
      <w:pPr>
        <w:spacing w:line="276" w:lineRule="auto"/>
        <w:ind w:left="170"/>
        <w:rPr>
          <w:rFonts w:ascii="Arial" w:eastAsiaTheme="minorHAnsi" w:hAnsi="Arial" w:cs="Arial"/>
          <w:b/>
          <w:noProof w:val="0"/>
          <w:color w:val="000000"/>
          <w:kern w:val="0"/>
          <w:position w:val="0"/>
          <w:sz w:val="20"/>
          <w:szCs w:val="20"/>
          <w:lang w:eastAsia="tr-TR"/>
        </w:rPr>
      </w:pPr>
    </w:p>
    <w:p w14:paraId="2DF11469" w14:textId="04742F33"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b/>
          <w:noProof w:val="0"/>
          <w:color w:val="000000"/>
          <w:kern w:val="0"/>
          <w:position w:val="0"/>
          <w:sz w:val="20"/>
          <w:szCs w:val="20"/>
          <w:lang w:eastAsia="tr-TR"/>
        </w:rPr>
        <w:t>MADDE 3 –</w:t>
      </w:r>
      <w:r w:rsidRPr="004B339D">
        <w:rPr>
          <w:rFonts w:ascii="Arial" w:eastAsiaTheme="minorHAnsi" w:hAnsi="Arial" w:cs="Arial"/>
          <w:noProof w:val="0"/>
          <w:color w:val="000000"/>
          <w:kern w:val="0"/>
          <w:position w:val="0"/>
          <w:sz w:val="20"/>
          <w:szCs w:val="20"/>
          <w:lang w:eastAsia="tr-TR"/>
        </w:rPr>
        <w:t xml:space="preserve"> Aynı Yönetmeliğin 6 ncı maddesinin üçüncü ve altıncı fıkraları aşağıdaki şekilde değiştirilmiştir.</w:t>
      </w:r>
    </w:p>
    <w:p w14:paraId="14A8B905" w14:textId="77777777"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 xml:space="preserve">“(3) Bu test yapılırken, net kazanılmamış primler karşılığının beklenen net hasar prim oranı ile çarpılması gerekir. Beklenen net hasar prim oranı, gerçekleşmiş hasarların (muallak tazminatlar (net) + ödenen tazminatlar (net) – devreden muallak tazminatlar (net)) kazanılmış prime (yazılan primler (net) + devreden kazanılmamış primler karşılığı (net) – kazanılmamış primler karşılığı (net)) bölünmesi suretiyle bulunur. Müsteşarlıkça </w:t>
      </w:r>
      <w:r w:rsidRPr="004B339D">
        <w:rPr>
          <w:rFonts w:ascii="Arial" w:eastAsiaTheme="minorHAnsi" w:hAnsi="Arial" w:cs="Arial"/>
          <w:b/>
          <w:noProof w:val="0"/>
          <w:color w:val="000000"/>
          <w:kern w:val="0"/>
          <w:position w:val="0"/>
          <w:sz w:val="20"/>
          <w:szCs w:val="20"/>
          <w:lang w:eastAsia="tr-TR"/>
        </w:rPr>
        <w:t>(Değişik ibare:RG-10/11/2021-31655-Kurumca)</w:t>
      </w:r>
      <w:r w:rsidRPr="004B339D">
        <w:rPr>
          <w:rFonts w:ascii="Arial" w:eastAsiaTheme="minorHAnsi" w:hAnsi="Arial" w:cs="Arial"/>
          <w:noProof w:val="0"/>
          <w:color w:val="000000"/>
          <w:kern w:val="0"/>
          <w:position w:val="0"/>
          <w:sz w:val="20"/>
          <w:szCs w:val="20"/>
          <w:lang w:eastAsia="tr-TR"/>
        </w:rPr>
        <w:t xml:space="preserve"> belirlenecek branşlar için beklenen hasar prim oranının % 95’in üzerinde olması halinde, % 95’i aşan oranın net kazanılmamış primler karşılığı ile çarpılması sonucunda bulunan tutar net devam eden riskler karşılığı, % 95’i aşan oranın brüt kazanılmamış primler karşılığı ile çarpılması sonucunda bulunan tutar brüt devam eden riskler karşılığı olarak finansal tablolarda yer alır. Brüt tutar ile net tutar arasındaki fark ise reasürör payı olarak dikkate alınır. Bölüşmesiz reasürans anlaşmaları için ödenen tutarların ilgili döneme tekabül eden kısmı net prim hesabında devredilen prim olarak kabul edilir. Müsteşarlık </w:t>
      </w:r>
      <w:r w:rsidRPr="004B339D">
        <w:rPr>
          <w:rFonts w:ascii="Arial" w:eastAsiaTheme="minorHAnsi" w:hAnsi="Arial" w:cs="Arial"/>
          <w:b/>
          <w:noProof w:val="0"/>
          <w:color w:val="000000"/>
          <w:kern w:val="0"/>
          <w:position w:val="0"/>
          <w:sz w:val="20"/>
          <w:szCs w:val="20"/>
          <w:lang w:eastAsia="tr-TR"/>
        </w:rPr>
        <w:t>(Değişik ibare:RG-10/11/2021-31655-Kurum)</w:t>
      </w:r>
      <w:r w:rsidRPr="004B339D">
        <w:rPr>
          <w:rFonts w:ascii="Arial" w:eastAsiaTheme="minorHAnsi" w:hAnsi="Arial" w:cs="Arial"/>
          <w:noProof w:val="0"/>
          <w:color w:val="000000"/>
          <w:kern w:val="0"/>
          <w:position w:val="0"/>
          <w:sz w:val="20"/>
          <w:szCs w:val="20"/>
          <w:lang w:eastAsia="tr-TR"/>
        </w:rPr>
        <w:t xml:space="preserve"> branşlar itibarıyla bu test yöntemini değiştirebilir, farklı test yöntemleriyle yeterlilik testi yapabilir ve bu test yöntemi çerçevesinde devam eden riskler karşılığının ayrılmasını isteyebilir.”</w:t>
      </w:r>
    </w:p>
    <w:p w14:paraId="27CEA320" w14:textId="56763CC6"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“(6) Yeni faaliyete başlanılan branşlarda devam eden riskler karşılığı, faaliyete başlanılmasını takip eden yirmi dördüncü ayın sonuna kadar şirket aktüeri tarafından hesaplanır ve hesaplama yöntemi ilgili hesap dönemi için belirlenen finansal raporlama tarihinden bir hafta önce Müsteşarlığa</w:t>
      </w:r>
      <w:r>
        <w:rPr>
          <w:rFonts w:ascii="Arial" w:eastAsiaTheme="minorHAnsi" w:hAnsi="Arial" w:cs="Arial"/>
          <w:noProof w:val="0"/>
          <w:color w:val="000000"/>
          <w:kern w:val="0"/>
          <w:position w:val="0"/>
          <w:sz w:val="20"/>
          <w:szCs w:val="20"/>
          <w:lang w:eastAsia="tr-TR"/>
        </w:rPr>
        <w:t xml:space="preserve"> </w:t>
      </w:r>
      <w:r w:rsidRPr="004B339D">
        <w:rPr>
          <w:rFonts w:ascii="Arial" w:eastAsiaTheme="minorHAnsi" w:hAnsi="Arial" w:cs="Arial"/>
          <w:b/>
          <w:noProof w:val="0"/>
          <w:color w:val="000000"/>
          <w:kern w:val="0"/>
          <w:position w:val="0"/>
          <w:sz w:val="20"/>
          <w:szCs w:val="20"/>
          <w:lang w:eastAsia="tr-TR"/>
        </w:rPr>
        <w:t xml:space="preserve">(Değişik ibare:RG-10/11/2021-31655-Kuruma) </w:t>
      </w:r>
      <w:r w:rsidRPr="004B339D">
        <w:rPr>
          <w:rFonts w:ascii="Arial" w:eastAsiaTheme="minorHAnsi" w:hAnsi="Arial" w:cs="Arial"/>
          <w:noProof w:val="0"/>
          <w:color w:val="000000"/>
          <w:kern w:val="0"/>
          <w:position w:val="0"/>
          <w:sz w:val="20"/>
          <w:szCs w:val="20"/>
          <w:lang w:eastAsia="tr-TR"/>
        </w:rPr>
        <w:t xml:space="preserve"> raporlanır.”</w:t>
      </w:r>
    </w:p>
    <w:p w14:paraId="313D235D" w14:textId="77777777" w:rsid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p>
    <w:p w14:paraId="3D54BFD8" w14:textId="6638EF31"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b/>
          <w:noProof w:val="0"/>
          <w:color w:val="000000"/>
          <w:kern w:val="0"/>
          <w:position w:val="0"/>
          <w:sz w:val="20"/>
          <w:szCs w:val="20"/>
          <w:lang w:eastAsia="tr-TR"/>
        </w:rPr>
        <w:t>MADDE 4 –</w:t>
      </w:r>
      <w:r w:rsidRPr="004B339D">
        <w:rPr>
          <w:rFonts w:ascii="Arial" w:eastAsiaTheme="minorHAnsi" w:hAnsi="Arial" w:cs="Arial"/>
          <w:noProof w:val="0"/>
          <w:color w:val="000000"/>
          <w:kern w:val="0"/>
          <w:position w:val="0"/>
          <w:sz w:val="20"/>
          <w:szCs w:val="20"/>
          <w:lang w:eastAsia="tr-TR"/>
        </w:rPr>
        <w:t xml:space="preserve"> Aynı Yönetmeliğin 7 nci maddesinin ikinci, üçüncü, dördüncü, onuncu fıkraları aşağıdaki şekilde değiştirilmiş ve beşinci, altıncı, yedinci, sekizinci, on birinci ve on ikinci fıkraları yürürlükten kaldırılmıştır.</w:t>
      </w:r>
    </w:p>
    <w:p w14:paraId="7750844D" w14:textId="1182643B"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“(2) Tahakkuk etmiş ve hesaben tespit edilmiş muallak tazminat karşılığının hesaplanması sırasında; hesaplanmış veya tahmin edilmiş eksper, bilirkişi, danışman, dava ve haberleşme giderleri de dahil olmak üzere tazminat dosyalarının tekemmülü için gerekli tüm gider payları dikkate alınır. Rücu, sovtaj ve benzeri gelir kalemlerinin tenzil edilmesine ilişkin usul ve esaslar Müsteşarlıkça</w:t>
      </w:r>
      <w:r>
        <w:rPr>
          <w:rFonts w:ascii="Arial" w:eastAsiaTheme="minorHAnsi" w:hAnsi="Arial" w:cs="Arial"/>
          <w:noProof w:val="0"/>
          <w:color w:val="000000"/>
          <w:kern w:val="0"/>
          <w:position w:val="0"/>
          <w:sz w:val="20"/>
          <w:szCs w:val="20"/>
          <w:lang w:eastAsia="tr-TR"/>
        </w:rPr>
        <w:t xml:space="preserve"> </w:t>
      </w:r>
      <w:r w:rsidRPr="004B339D">
        <w:rPr>
          <w:rFonts w:ascii="Arial" w:eastAsiaTheme="minorHAnsi" w:hAnsi="Arial" w:cs="Arial"/>
          <w:b/>
          <w:noProof w:val="0"/>
          <w:color w:val="000000"/>
          <w:kern w:val="0"/>
          <w:position w:val="0"/>
          <w:sz w:val="20"/>
          <w:szCs w:val="20"/>
          <w:lang w:eastAsia="tr-TR"/>
        </w:rPr>
        <w:t xml:space="preserve">(Değişik ibare:RG-10/11/2021-31655-Kurumca)  </w:t>
      </w:r>
      <w:r w:rsidRPr="004B339D">
        <w:rPr>
          <w:rFonts w:ascii="Arial" w:eastAsiaTheme="minorHAnsi" w:hAnsi="Arial" w:cs="Arial"/>
          <w:noProof w:val="0"/>
          <w:color w:val="000000"/>
          <w:kern w:val="0"/>
          <w:position w:val="0"/>
          <w:sz w:val="20"/>
          <w:szCs w:val="20"/>
          <w:lang w:eastAsia="tr-TR"/>
        </w:rPr>
        <w:t>belirlenir.</w:t>
      </w:r>
    </w:p>
    <w:p w14:paraId="66F07F12" w14:textId="46FD7B97"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lastRenderedPageBreak/>
        <w:t>(3) Gerçekleşmiş ancak rapor edilmemiş tazminat bedeli, içeriği ve uygulama esasları Müsteşarlıkça</w:t>
      </w:r>
      <w:r>
        <w:rPr>
          <w:rFonts w:ascii="Arial" w:eastAsiaTheme="minorHAnsi" w:hAnsi="Arial" w:cs="Arial"/>
          <w:noProof w:val="0"/>
          <w:color w:val="000000"/>
          <w:kern w:val="0"/>
          <w:position w:val="0"/>
          <w:sz w:val="20"/>
          <w:szCs w:val="20"/>
          <w:lang w:eastAsia="tr-TR"/>
        </w:rPr>
        <w:t xml:space="preserve"> </w:t>
      </w:r>
      <w:r w:rsidRPr="004B339D">
        <w:rPr>
          <w:rFonts w:ascii="Arial" w:eastAsiaTheme="minorHAnsi" w:hAnsi="Arial" w:cs="Arial"/>
          <w:b/>
          <w:noProof w:val="0"/>
          <w:color w:val="000000"/>
          <w:kern w:val="0"/>
          <w:position w:val="0"/>
          <w:sz w:val="20"/>
          <w:szCs w:val="20"/>
          <w:lang w:eastAsia="tr-TR"/>
        </w:rPr>
        <w:t>(Değişik ibare:RG-10/11/2021-31655-Kurumca)</w:t>
      </w:r>
      <w:r w:rsidRPr="004B339D">
        <w:rPr>
          <w:rFonts w:ascii="Arial" w:eastAsiaTheme="minorHAnsi" w:hAnsi="Arial" w:cs="Arial"/>
          <w:noProof w:val="0"/>
          <w:color w:val="000000"/>
          <w:kern w:val="0"/>
          <w:position w:val="0"/>
          <w:sz w:val="20"/>
          <w:szCs w:val="20"/>
          <w:lang w:eastAsia="tr-TR"/>
        </w:rPr>
        <w:t xml:space="preserve"> belirlenen aktüeryal zincirleme merdiven metodu veya Müsteşarlıkça</w:t>
      </w:r>
      <w:r>
        <w:rPr>
          <w:rFonts w:ascii="Arial" w:eastAsiaTheme="minorHAnsi" w:hAnsi="Arial" w:cs="Arial"/>
          <w:noProof w:val="0"/>
          <w:color w:val="000000"/>
          <w:kern w:val="0"/>
          <w:position w:val="0"/>
          <w:sz w:val="20"/>
          <w:szCs w:val="20"/>
          <w:lang w:eastAsia="tr-TR"/>
        </w:rPr>
        <w:t xml:space="preserve"> </w:t>
      </w:r>
      <w:r w:rsidRPr="004B339D">
        <w:rPr>
          <w:rFonts w:ascii="Arial" w:eastAsiaTheme="minorHAnsi" w:hAnsi="Arial" w:cs="Arial"/>
          <w:b/>
          <w:noProof w:val="0"/>
          <w:color w:val="000000"/>
          <w:kern w:val="0"/>
          <w:position w:val="0"/>
          <w:sz w:val="20"/>
          <w:szCs w:val="20"/>
          <w:lang w:eastAsia="tr-TR"/>
        </w:rPr>
        <w:t>(Değişik ibare:RG-10/11/2021-31655-Kurumca)</w:t>
      </w:r>
      <w:r w:rsidRPr="004B339D">
        <w:rPr>
          <w:rFonts w:ascii="Arial" w:eastAsiaTheme="minorHAnsi" w:hAnsi="Arial" w:cs="Arial"/>
          <w:noProof w:val="0"/>
          <w:color w:val="000000"/>
          <w:kern w:val="0"/>
          <w:position w:val="0"/>
          <w:sz w:val="20"/>
          <w:szCs w:val="20"/>
          <w:lang w:eastAsia="tr-TR"/>
        </w:rPr>
        <w:t xml:space="preserve"> belirlenecek diğer hesaplama yöntemleriyle hesaplanır.</w:t>
      </w:r>
    </w:p>
    <w:p w14:paraId="3347D48B" w14:textId="4362E5F0"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(4) Müsteşarlık</w:t>
      </w:r>
      <w:r>
        <w:rPr>
          <w:rFonts w:ascii="Arial" w:eastAsiaTheme="minorHAnsi" w:hAnsi="Arial" w:cs="Arial"/>
          <w:noProof w:val="0"/>
          <w:color w:val="000000"/>
          <w:kern w:val="0"/>
          <w:position w:val="0"/>
          <w:sz w:val="20"/>
          <w:szCs w:val="20"/>
          <w:lang w:eastAsia="tr-TR"/>
        </w:rPr>
        <w:t xml:space="preserve"> </w:t>
      </w:r>
      <w:r w:rsidRPr="004B339D">
        <w:rPr>
          <w:rFonts w:ascii="Arial" w:eastAsiaTheme="minorHAnsi" w:hAnsi="Arial" w:cs="Arial"/>
          <w:b/>
          <w:noProof w:val="0"/>
          <w:color w:val="000000"/>
          <w:kern w:val="0"/>
          <w:position w:val="0"/>
          <w:sz w:val="20"/>
          <w:szCs w:val="20"/>
          <w:lang w:eastAsia="tr-TR"/>
        </w:rPr>
        <w:t>(Değişik ibare:RG-10/11/2021-31655-Kurum),</w:t>
      </w:r>
      <w:r w:rsidRPr="004B339D">
        <w:rPr>
          <w:rFonts w:ascii="Arial" w:eastAsiaTheme="minorHAnsi" w:hAnsi="Arial" w:cs="Arial"/>
          <w:noProof w:val="0"/>
          <w:color w:val="000000"/>
          <w:kern w:val="0"/>
          <w:position w:val="0"/>
          <w:sz w:val="20"/>
          <w:szCs w:val="20"/>
          <w:lang w:eastAsia="tr-TR"/>
        </w:rPr>
        <w:t xml:space="preserve"> branşlar veya şirketler itibarıyla uygulanacak gerçekleşmiş ancak rapor edilmemiş tazminat bedeli hesaplama yöntemini (aktüeryal zincirleme merdiven metodunu) belirleyebilir. Şirketler her bir branş itibarıyla kullanmakta oldukları gerçekleşmiş ancak rapor edilmemiş tazminat bedeli hesaplama yöntemini finansal tablolarının dipnotlarında açıklar.”</w:t>
      </w:r>
    </w:p>
    <w:p w14:paraId="65B1ADC3" w14:textId="0180D87A"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“(10) Muallak tazminat karşılığı yeterlilik farkının hesaplanmasına, bu farkın hesaplanacağı tablonun Müsteşarlığa</w:t>
      </w:r>
      <w:r>
        <w:rPr>
          <w:rFonts w:ascii="Arial" w:eastAsiaTheme="minorHAnsi" w:hAnsi="Arial" w:cs="Arial"/>
          <w:noProof w:val="0"/>
          <w:color w:val="000000"/>
          <w:kern w:val="0"/>
          <w:position w:val="0"/>
          <w:sz w:val="20"/>
          <w:szCs w:val="20"/>
          <w:lang w:eastAsia="tr-TR"/>
        </w:rPr>
        <w:t xml:space="preserve"> </w:t>
      </w:r>
      <w:r w:rsidRPr="004B339D">
        <w:rPr>
          <w:rFonts w:ascii="Arial" w:eastAsiaTheme="minorHAnsi" w:hAnsi="Arial" w:cs="Arial"/>
          <w:b/>
          <w:noProof w:val="0"/>
          <w:color w:val="000000"/>
          <w:kern w:val="0"/>
          <w:position w:val="0"/>
          <w:sz w:val="20"/>
          <w:szCs w:val="20"/>
          <w:lang w:eastAsia="tr-TR"/>
        </w:rPr>
        <w:t>(Değişik ibare:RG-10/11/2021-31655-Kuruma)</w:t>
      </w:r>
      <w:r w:rsidRPr="004B339D">
        <w:rPr>
          <w:rFonts w:ascii="Arial" w:eastAsiaTheme="minorHAnsi" w:hAnsi="Arial" w:cs="Arial"/>
          <w:noProof w:val="0"/>
          <w:color w:val="000000"/>
          <w:kern w:val="0"/>
          <w:position w:val="0"/>
          <w:sz w:val="20"/>
          <w:szCs w:val="20"/>
          <w:lang w:eastAsia="tr-TR"/>
        </w:rPr>
        <w:t xml:space="preserve"> gönderilmesine ve hesaplanan farkın muallak tazminat k</w:t>
      </w:r>
      <w:bookmarkStart w:id="2" w:name="_GoBack"/>
      <w:bookmarkEnd w:id="2"/>
      <w:r w:rsidRPr="004B339D">
        <w:rPr>
          <w:rFonts w:ascii="Arial" w:eastAsiaTheme="minorHAnsi" w:hAnsi="Arial" w:cs="Arial"/>
          <w:noProof w:val="0"/>
          <w:color w:val="000000"/>
          <w:kern w:val="0"/>
          <w:position w:val="0"/>
          <w:sz w:val="20"/>
          <w:szCs w:val="20"/>
          <w:lang w:eastAsia="tr-TR"/>
        </w:rPr>
        <w:t>arşılığına ilave edilmesine ilişkin usul ve esaslar Müsteşarlıkça</w:t>
      </w:r>
      <w:r>
        <w:rPr>
          <w:rFonts w:ascii="Arial" w:eastAsiaTheme="minorHAnsi" w:hAnsi="Arial" w:cs="Arial"/>
          <w:noProof w:val="0"/>
          <w:color w:val="000000"/>
          <w:kern w:val="0"/>
          <w:position w:val="0"/>
          <w:sz w:val="20"/>
          <w:szCs w:val="20"/>
          <w:lang w:eastAsia="tr-TR"/>
        </w:rPr>
        <w:t xml:space="preserve"> </w:t>
      </w:r>
      <w:r w:rsidRPr="004B339D">
        <w:rPr>
          <w:rFonts w:ascii="Arial" w:eastAsiaTheme="minorHAnsi" w:hAnsi="Arial" w:cs="Arial"/>
          <w:b/>
          <w:noProof w:val="0"/>
          <w:color w:val="000000"/>
          <w:kern w:val="0"/>
          <w:position w:val="0"/>
          <w:sz w:val="20"/>
          <w:szCs w:val="20"/>
          <w:lang w:eastAsia="tr-TR"/>
        </w:rPr>
        <w:t>(Değişik ibare:RG-10/11/2021-31655-Kurumca)</w:t>
      </w:r>
      <w:r w:rsidRPr="004B339D">
        <w:rPr>
          <w:rFonts w:ascii="Arial" w:eastAsiaTheme="minorHAnsi" w:hAnsi="Arial" w:cs="Arial"/>
          <w:noProof w:val="0"/>
          <w:color w:val="000000"/>
          <w:kern w:val="0"/>
          <w:position w:val="0"/>
          <w:sz w:val="20"/>
          <w:szCs w:val="20"/>
          <w:lang w:eastAsia="tr-TR"/>
        </w:rPr>
        <w:t xml:space="preserve"> belirlenir.”</w:t>
      </w:r>
    </w:p>
    <w:p w14:paraId="5F212423" w14:textId="77777777" w:rsid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p>
    <w:p w14:paraId="6C6406CD" w14:textId="057B1D56"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b/>
          <w:noProof w:val="0"/>
          <w:color w:val="000000"/>
          <w:kern w:val="0"/>
          <w:position w:val="0"/>
          <w:sz w:val="20"/>
          <w:szCs w:val="20"/>
          <w:lang w:eastAsia="tr-TR"/>
        </w:rPr>
        <w:t>MADDE 6 –</w:t>
      </w:r>
      <w:r w:rsidRPr="004B339D">
        <w:rPr>
          <w:rFonts w:ascii="Arial" w:eastAsiaTheme="minorHAnsi" w:hAnsi="Arial" w:cs="Arial"/>
          <w:noProof w:val="0"/>
          <w:color w:val="000000"/>
          <w:kern w:val="0"/>
          <w:position w:val="0"/>
          <w:sz w:val="20"/>
          <w:szCs w:val="20"/>
          <w:lang w:eastAsia="tr-TR"/>
        </w:rPr>
        <w:t xml:space="preserve"> Aynı Yönetmeliğin 13 üncü maddesinin birinci fıkrasının (f) bendi aşağıdaki şekilde değiştirilmiştir.</w:t>
      </w:r>
    </w:p>
    <w:p w14:paraId="5465D511" w14:textId="77777777"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noProof w:val="0"/>
          <w:color w:val="000000"/>
          <w:kern w:val="0"/>
          <w:position w:val="0"/>
          <w:sz w:val="20"/>
          <w:szCs w:val="20"/>
          <w:lang w:eastAsia="tr-TR"/>
        </w:rPr>
        <w:t xml:space="preserve">“f) Bir bankada değerlendirilen mevduat, </w:t>
      </w:r>
      <w:r w:rsidRPr="004B339D">
        <w:rPr>
          <w:rFonts w:ascii="Arial" w:eastAsiaTheme="minorHAnsi" w:hAnsi="Arial" w:cs="Arial"/>
          <w:b/>
          <w:noProof w:val="0"/>
          <w:color w:val="000000"/>
          <w:kern w:val="0"/>
          <w:position w:val="0"/>
          <w:sz w:val="20"/>
          <w:szCs w:val="20"/>
          <w:lang w:eastAsia="tr-TR"/>
        </w:rPr>
        <w:t>(Değişik ibare:RG-10/11/2021-31655-cari hesap, kıymetli maden hesabı ve katılma hesapları)</w:t>
      </w:r>
      <w:r w:rsidRPr="004B339D">
        <w:rPr>
          <w:rFonts w:ascii="Arial" w:eastAsiaTheme="minorHAnsi" w:hAnsi="Arial" w:cs="Arial"/>
          <w:noProof w:val="0"/>
          <w:color w:val="000000"/>
          <w:kern w:val="0"/>
          <w:position w:val="0"/>
          <w:sz w:val="20"/>
          <w:szCs w:val="20"/>
          <w:lang w:eastAsia="tr-TR"/>
        </w:rPr>
        <w:t xml:space="preserve">  cari hesap ve katılma hesapları ile bankalarca garanti edilen kredi kartı alacak tutarının brüt teknik karşılıkların % 40’ını geçen kısmı ile şirketle aynı finansal topluluk içerisinde bulunan bankada değerlendirilen mevduat, cari hesap ve katılma hesapları ile bankalarca garanti edilen kredi kartı alacak tutarının brüt teknik karşılıkların % 20’sini aşan kısmı,”</w:t>
      </w:r>
    </w:p>
    <w:p w14:paraId="19D91629" w14:textId="77777777" w:rsid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p>
    <w:p w14:paraId="61ABCAE9" w14:textId="27C3B3E5"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b/>
          <w:noProof w:val="0"/>
          <w:color w:val="000000"/>
          <w:kern w:val="0"/>
          <w:position w:val="0"/>
          <w:sz w:val="20"/>
          <w:szCs w:val="20"/>
          <w:lang w:eastAsia="tr-TR"/>
        </w:rPr>
        <w:t>MADDE 7 –</w:t>
      </w:r>
      <w:r w:rsidRPr="004B339D">
        <w:rPr>
          <w:rFonts w:ascii="Arial" w:eastAsiaTheme="minorHAnsi" w:hAnsi="Arial" w:cs="Arial"/>
          <w:noProof w:val="0"/>
          <w:color w:val="000000"/>
          <w:kern w:val="0"/>
          <w:position w:val="0"/>
          <w:sz w:val="20"/>
          <w:szCs w:val="20"/>
          <w:lang w:eastAsia="tr-TR"/>
        </w:rPr>
        <w:t xml:space="preserve"> Bu Yönetmeliğin 5 inci maddesi 1/1/2015 tarihinde, diğer maddeleri ise 30/6/2012 tarihinden geçerli olmak üzere yayımı tarihinde yürürlüğe girer.</w:t>
      </w:r>
    </w:p>
    <w:p w14:paraId="38F2DDD4" w14:textId="77777777" w:rsid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p>
    <w:p w14:paraId="16942F67" w14:textId="3833DEB0" w:rsidR="004B339D" w:rsidRPr="004B339D" w:rsidRDefault="004B339D" w:rsidP="004B339D">
      <w:pPr>
        <w:spacing w:line="276" w:lineRule="auto"/>
        <w:ind w:left="170"/>
        <w:rPr>
          <w:rFonts w:ascii="Arial" w:eastAsiaTheme="minorHAnsi" w:hAnsi="Arial" w:cs="Arial"/>
          <w:noProof w:val="0"/>
          <w:color w:val="000000"/>
          <w:kern w:val="0"/>
          <w:position w:val="0"/>
          <w:sz w:val="20"/>
          <w:szCs w:val="20"/>
          <w:lang w:eastAsia="tr-TR"/>
        </w:rPr>
      </w:pPr>
      <w:r w:rsidRPr="004B339D">
        <w:rPr>
          <w:rFonts w:ascii="Arial" w:eastAsiaTheme="minorHAnsi" w:hAnsi="Arial" w:cs="Arial"/>
          <w:b/>
          <w:noProof w:val="0"/>
          <w:color w:val="000000"/>
          <w:kern w:val="0"/>
          <w:position w:val="0"/>
          <w:sz w:val="20"/>
          <w:szCs w:val="20"/>
          <w:lang w:eastAsia="tr-TR"/>
        </w:rPr>
        <w:t>MADDE 8 –</w:t>
      </w:r>
      <w:r w:rsidRPr="004B339D">
        <w:rPr>
          <w:rFonts w:ascii="Arial" w:eastAsiaTheme="minorHAnsi" w:hAnsi="Arial" w:cs="Arial"/>
          <w:noProof w:val="0"/>
          <w:color w:val="000000"/>
          <w:kern w:val="0"/>
          <w:position w:val="0"/>
          <w:sz w:val="20"/>
          <w:szCs w:val="20"/>
          <w:lang w:eastAsia="tr-TR"/>
        </w:rPr>
        <w:t xml:space="preserve"> Bu Yönetmelik hükümlerini Hazine Müsteşarlığının bağlı bulunduğu Bakan yürütür.</w:t>
      </w:r>
    </w:p>
    <w:p w14:paraId="3B977C6A"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4AC1" w14:textId="77777777" w:rsidR="004B339D" w:rsidRDefault="004B339D" w:rsidP="004B339D">
      <w:r>
        <w:separator/>
      </w:r>
    </w:p>
  </w:endnote>
  <w:endnote w:type="continuationSeparator" w:id="0">
    <w:p w14:paraId="51A27479" w14:textId="77777777" w:rsidR="004B339D" w:rsidRDefault="004B339D" w:rsidP="004B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62AD" w14:textId="131F32B9" w:rsidR="004B339D" w:rsidRPr="004D2FF7" w:rsidRDefault="004D2FF7" w:rsidP="004D2FF7">
    <w:pPr>
      <w:pStyle w:val="AltBilgi"/>
      <w:jc w:val="left"/>
    </w:pPr>
    <w:fldSimple w:instr=" DOCPROPERTY bjFooterEvenPageDocProperty \* MERGEFORMAT " w:fldLock="1">
      <w:r w:rsidRPr="00FC5A87">
        <w:rPr>
          <w:rFonts w:ascii="Malgun Gothic" w:eastAsia="Malgun Gothic" w:hAnsi="Malgun Gothic"/>
          <w:b/>
          <w:color w:val="999999"/>
        </w:rPr>
        <w:t>Sınıflandırma|</w:t>
      </w:r>
      <w:r w:rsidRPr="00FC5A87">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A9CF" w14:textId="5326BA75" w:rsidR="004B339D" w:rsidRPr="004D2FF7" w:rsidRDefault="004D2FF7" w:rsidP="004D2FF7">
    <w:pPr>
      <w:pStyle w:val="AltBilgi"/>
      <w:jc w:val="left"/>
    </w:pPr>
    <w:fldSimple w:instr=" DOCPROPERTY bjFooterBothDocProperty \* MERGEFORMAT " w:fldLock="1">
      <w:r w:rsidRPr="00FC5A87">
        <w:rPr>
          <w:rFonts w:ascii="Malgun Gothic" w:eastAsia="Malgun Gothic" w:hAnsi="Malgun Gothic"/>
          <w:b/>
          <w:color w:val="999999"/>
        </w:rPr>
        <w:t>Sınıflandırma|</w:t>
      </w:r>
      <w:r w:rsidRPr="00FC5A87">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E3CA" w14:textId="1D9AAEF4" w:rsidR="004B339D" w:rsidRPr="004D2FF7" w:rsidRDefault="004D2FF7" w:rsidP="004D2FF7">
    <w:pPr>
      <w:pStyle w:val="AltBilgi"/>
      <w:jc w:val="left"/>
    </w:pPr>
    <w:fldSimple w:instr=" DOCPROPERTY bjFooterFirstPageDocProperty \* MERGEFORMAT " w:fldLock="1">
      <w:r w:rsidRPr="00FC5A87">
        <w:rPr>
          <w:rFonts w:ascii="Malgun Gothic" w:eastAsia="Malgun Gothic" w:hAnsi="Malgun Gothic"/>
          <w:b/>
          <w:color w:val="999999"/>
        </w:rPr>
        <w:t>Sınıflandırma|</w:t>
      </w:r>
      <w:r w:rsidRPr="00FC5A87">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0BFC2" w14:textId="77777777" w:rsidR="004B339D" w:rsidRDefault="004B339D" w:rsidP="004B339D">
      <w:r>
        <w:separator/>
      </w:r>
    </w:p>
  </w:footnote>
  <w:footnote w:type="continuationSeparator" w:id="0">
    <w:p w14:paraId="5C92EAD6" w14:textId="77777777" w:rsidR="004B339D" w:rsidRDefault="004B339D" w:rsidP="004B3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3348B" w14:textId="77777777" w:rsidR="004B339D" w:rsidRDefault="004B33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D37F" w14:textId="77777777" w:rsidR="004B339D" w:rsidRDefault="004B339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F4D3" w14:textId="77777777" w:rsidR="004B339D" w:rsidRDefault="004B339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3"/>
    <w:rsid w:val="004B339D"/>
    <w:rsid w:val="004D2FF7"/>
    <w:rsid w:val="00626E7B"/>
    <w:rsid w:val="008C5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BAD7"/>
  <w15:chartTrackingRefBased/>
  <w15:docId w15:val="{DA3091BE-A8DC-48C1-86C9-EE3E125F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39D"/>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4B339D"/>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B339D"/>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4B339D"/>
    <w:pPr>
      <w:tabs>
        <w:tab w:val="center" w:pos="4536"/>
        <w:tab w:val="right" w:pos="9072"/>
      </w:tabs>
    </w:pPr>
  </w:style>
  <w:style w:type="character" w:customStyle="1" w:styleId="stBilgiChar">
    <w:name w:val="Üst Bilgi Char"/>
    <w:basedOn w:val="VarsaylanParagrafYazTipi"/>
    <w:link w:val="stBilgi"/>
    <w:uiPriority w:val="99"/>
    <w:rsid w:val="004B339D"/>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4B339D"/>
    <w:pPr>
      <w:tabs>
        <w:tab w:val="center" w:pos="4536"/>
        <w:tab w:val="right" w:pos="9072"/>
      </w:tabs>
    </w:pPr>
  </w:style>
  <w:style w:type="character" w:customStyle="1" w:styleId="AltBilgiChar">
    <w:name w:val="Alt Bilgi Char"/>
    <w:basedOn w:val="VarsaylanParagrafYazTipi"/>
    <w:link w:val="AltBilgi"/>
    <w:uiPriority w:val="99"/>
    <w:rsid w:val="004B339D"/>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A8C92D3-B20C-4183-AB0A-DA87DEAABF5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853</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2023-04-07T11:45:00Z</cp:lastPrinted>
  <dcterms:created xsi:type="dcterms:W3CDTF">2023-04-07T11:38:00Z</dcterms:created>
  <dcterms:modified xsi:type="dcterms:W3CDTF">2023-04-07T11:47:00Z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3f23a03d-7536-4869-9271-b56a173460dc</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