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7C8C2" w14:textId="5B933116" w:rsidR="00B81B66" w:rsidRPr="00626E0B" w:rsidRDefault="00B81B66" w:rsidP="00B81B66">
      <w:pPr>
        <w:widowControl w:val="0"/>
        <w:ind w:left="170" w:right="170"/>
        <w:rPr>
          <w:bCs/>
        </w:rPr>
      </w:pPr>
      <w:bookmarkStart w:id="0" w:name="_Hlk131000123"/>
      <w:r w:rsidRPr="00626E0B">
        <w:rPr>
          <w:b/>
          <w:bCs/>
        </w:rPr>
        <w:t>Resmi Gazete No</w:t>
      </w:r>
      <w:r w:rsidRPr="00626E0B">
        <w:rPr>
          <w:b/>
          <w:bCs/>
        </w:rPr>
        <w:tab/>
        <w:t xml:space="preserve">: </w:t>
      </w:r>
      <w:r>
        <w:rPr>
          <w:bCs/>
        </w:rPr>
        <w:t>27655</w:t>
      </w:r>
    </w:p>
    <w:p w14:paraId="4DED75F8" w14:textId="63E62458" w:rsidR="00B81B66" w:rsidRPr="00626E0B" w:rsidRDefault="00B81B66" w:rsidP="00B81B66">
      <w:pPr>
        <w:widowControl w:val="0"/>
        <w:ind w:left="170" w:right="170"/>
        <w:rPr>
          <w:b/>
          <w:bCs/>
        </w:rPr>
      </w:pPr>
      <w:r w:rsidRPr="00626E0B">
        <w:rPr>
          <w:b/>
          <w:bCs/>
        </w:rPr>
        <w:t>Resmi Gazete Tarihi</w:t>
      </w:r>
      <w:r w:rsidRPr="00626E0B">
        <w:rPr>
          <w:b/>
          <w:bCs/>
        </w:rPr>
        <w:tab/>
        <w:t xml:space="preserve">: </w:t>
      </w:r>
      <w:r>
        <w:rPr>
          <w:bCs/>
        </w:rPr>
        <w:t>28</w:t>
      </w:r>
      <w:r w:rsidRPr="00626E0B">
        <w:rPr>
          <w:bCs/>
        </w:rPr>
        <w:t>.0</w:t>
      </w:r>
      <w:r>
        <w:rPr>
          <w:bCs/>
        </w:rPr>
        <w:t>7</w:t>
      </w:r>
      <w:r w:rsidRPr="00626E0B">
        <w:rPr>
          <w:bCs/>
        </w:rPr>
        <w:t>.20</w:t>
      </w:r>
      <w:r>
        <w:rPr>
          <w:bCs/>
        </w:rPr>
        <w:t>10</w:t>
      </w:r>
    </w:p>
    <w:bookmarkEnd w:id="0"/>
    <w:p w14:paraId="034C22E6" w14:textId="519E7B32" w:rsidR="00B81B66" w:rsidRDefault="00B81B66" w:rsidP="00B81B66">
      <w:pPr>
        <w:tabs>
          <w:tab w:val="left" w:pos="708"/>
        </w:tabs>
        <w:spacing w:line="240" w:lineRule="exact"/>
        <w:rPr>
          <w:b/>
          <w:u w:val="single"/>
        </w:rPr>
      </w:pPr>
      <w:r>
        <w:t xml:space="preserve">   </w:t>
      </w:r>
      <w:r w:rsidRPr="00B81B66">
        <w:rPr>
          <w:b/>
          <w:u w:val="single"/>
        </w:rPr>
        <w:t>Başbakanlık (Hazine Müsteşarlığı)’tan:</w:t>
      </w:r>
    </w:p>
    <w:p w14:paraId="47E902A8" w14:textId="77777777" w:rsidR="00B81B66" w:rsidRPr="00B81B66" w:rsidRDefault="00B81B66" w:rsidP="00B81B66">
      <w:pPr>
        <w:tabs>
          <w:tab w:val="left" w:pos="708"/>
        </w:tabs>
        <w:spacing w:line="240" w:lineRule="exact"/>
        <w:rPr>
          <w:b/>
          <w:u w:val="single"/>
        </w:rPr>
      </w:pPr>
    </w:p>
    <w:p w14:paraId="2A7C783F" w14:textId="77777777" w:rsidR="00307030" w:rsidRDefault="00B81B66" w:rsidP="00940E35">
      <w:pPr>
        <w:pStyle w:val="Balk2"/>
        <w:spacing w:line="276" w:lineRule="auto"/>
      </w:pPr>
      <w:bookmarkStart w:id="1" w:name="_Toc10203325"/>
      <w:bookmarkStart w:id="2" w:name="_Toc105418570"/>
      <w:r w:rsidRPr="00106154">
        <w:t xml:space="preserve">SİGORTA VE REASÜRANS İLE EMEKLİLİK ŞİRKETLERİNİN TEKNİK KARŞILIKLARINA VE BU </w:t>
      </w:r>
      <w:r>
        <w:t>K</w:t>
      </w:r>
      <w:r w:rsidRPr="00106154">
        <w:t>ARŞILIKLARIN YATIRILACAĞI</w:t>
      </w:r>
      <w:r>
        <w:t xml:space="preserve"> </w:t>
      </w:r>
      <w:r w:rsidRPr="00106154">
        <w:t>VARLIKLARA İLİŞKİN YÖNETMELİKTE DEĞİŞİKLİK</w:t>
      </w:r>
      <w:r>
        <w:t xml:space="preserve"> YAPILMASINA </w:t>
      </w:r>
      <w:r w:rsidRPr="00106154">
        <w:t>DAİR YÖNETMELİK</w:t>
      </w:r>
      <w:bookmarkEnd w:id="1"/>
      <w:bookmarkEnd w:id="2"/>
      <w:r>
        <w:t xml:space="preserve"> </w:t>
      </w:r>
    </w:p>
    <w:p w14:paraId="1AE37812" w14:textId="05C436F5" w:rsidR="00B81B66" w:rsidRDefault="00307030" w:rsidP="00940E35">
      <w:pPr>
        <w:pStyle w:val="Balk2"/>
        <w:spacing w:line="276" w:lineRule="auto"/>
      </w:pPr>
      <w:r>
        <w:t>(</w:t>
      </w:r>
      <w:r w:rsidR="00B81B66">
        <w:t>İLGİLİ MADDELER</w:t>
      </w:r>
      <w:r>
        <w:t>)</w:t>
      </w:r>
    </w:p>
    <w:p w14:paraId="717C6473" w14:textId="77777777" w:rsidR="00B81B66" w:rsidRPr="00B81B66" w:rsidRDefault="00B81B66" w:rsidP="00B81B66">
      <w:pPr>
        <w:rPr>
          <w:lang w:eastAsia="tr-TR"/>
        </w:rPr>
      </w:pPr>
    </w:p>
    <w:p w14:paraId="23820BF5" w14:textId="77777777" w:rsidR="00B81B66" w:rsidRDefault="00B81B66" w:rsidP="00B81B66">
      <w:pPr>
        <w:rPr>
          <w:lang w:eastAsia="tr-TR"/>
        </w:rPr>
      </w:pPr>
    </w:p>
    <w:p w14:paraId="4F117013" w14:textId="77777777" w:rsidR="00B81B66" w:rsidRPr="00B81B66" w:rsidRDefault="00B81B66" w:rsidP="00B81B66">
      <w:pPr>
        <w:spacing w:line="276" w:lineRule="auto"/>
        <w:ind w:left="170"/>
        <w:rPr>
          <w:kern w:val="0"/>
          <w:lang w:eastAsia="tr-TR"/>
        </w:rPr>
      </w:pPr>
      <w:r w:rsidRPr="00B81B66">
        <w:rPr>
          <w:b/>
          <w:kern w:val="0"/>
          <w:lang w:eastAsia="tr-TR"/>
        </w:rPr>
        <w:t>MADDE 1 –</w:t>
      </w:r>
      <w:r w:rsidRPr="00B81B66">
        <w:rPr>
          <w:kern w:val="0"/>
          <w:lang w:eastAsia="tr-TR"/>
        </w:rPr>
        <w:t xml:space="preserve"> 7/8/2007 tarihli ve 26606 sayılı Resmî Gazete’de yayımlanan Sigorta ve Reasürans ile Emeklilik Şirketlerinin Teknik Karşılıklarına ve Bu Karşılıkların Yatırılacağı Varlıklara İlişkin Yönetmeliğin 4 üncü maddesinin birinci fıkrasına aşağıdaki (c) bendi eklenmiş ve mevcut (c) bendi ve takip eden bentler buna göre teselsül ettirilmiştir.</w:t>
      </w:r>
    </w:p>
    <w:p w14:paraId="6B0559F9" w14:textId="4C26795A" w:rsidR="00B81B66" w:rsidRPr="00B81B66" w:rsidRDefault="00B81B66" w:rsidP="00B81B66">
      <w:pPr>
        <w:spacing w:line="276" w:lineRule="auto"/>
        <w:ind w:left="170"/>
        <w:rPr>
          <w:kern w:val="0"/>
          <w:lang w:eastAsia="tr-TR"/>
        </w:rPr>
      </w:pPr>
      <w:r w:rsidRPr="00B81B66">
        <w:rPr>
          <w:kern w:val="0"/>
          <w:lang w:eastAsia="tr-TR"/>
        </w:rPr>
        <w:t>“c) Destek hizmetleri: Çekme, kurtarma, kiralık araç sağlanması, tıbbi nakil, ambülans sağlanması, camcı ve çilingir sağlanması gi</w:t>
      </w:r>
      <w:bookmarkStart w:id="3" w:name="_GoBack"/>
      <w:bookmarkEnd w:id="3"/>
      <w:r w:rsidRPr="00B81B66">
        <w:rPr>
          <w:kern w:val="0"/>
          <w:lang w:eastAsia="tr-TR"/>
        </w:rPr>
        <w:t>bi verilen sigorta teminatını tamamlayıcı nitelikte olan ve dışarıdan sağlanan hizmetleri,”(Değişik:RG-23/8/2015-29454)</w:t>
      </w:r>
    </w:p>
    <w:p w14:paraId="475993D4" w14:textId="77777777" w:rsidR="00B81B66" w:rsidRPr="00B81B66" w:rsidRDefault="00B81B66" w:rsidP="00B81B66">
      <w:pPr>
        <w:spacing w:line="276" w:lineRule="auto"/>
        <w:ind w:left="170"/>
        <w:rPr>
          <w:kern w:val="0"/>
          <w:lang w:eastAsia="tr-TR"/>
        </w:rPr>
      </w:pPr>
    </w:p>
    <w:p w14:paraId="5288F4EC" w14:textId="77777777" w:rsidR="00B81B66" w:rsidRPr="00B81B66" w:rsidRDefault="00B81B66" w:rsidP="00B81B66">
      <w:pPr>
        <w:spacing w:line="276" w:lineRule="auto"/>
        <w:ind w:left="170"/>
        <w:rPr>
          <w:kern w:val="0"/>
          <w:lang w:eastAsia="tr-TR"/>
        </w:rPr>
      </w:pPr>
      <w:r w:rsidRPr="00B81B66">
        <w:rPr>
          <w:b/>
          <w:kern w:val="0"/>
          <w:lang w:eastAsia="tr-TR"/>
        </w:rPr>
        <w:t>MADDE 2</w:t>
      </w:r>
      <w:r w:rsidRPr="00B81B66">
        <w:rPr>
          <w:kern w:val="0"/>
          <w:lang w:eastAsia="tr-TR"/>
        </w:rPr>
        <w:t xml:space="preserve"> </w:t>
      </w:r>
      <w:r w:rsidRPr="00B81B66">
        <w:rPr>
          <w:b/>
          <w:kern w:val="0"/>
          <w:lang w:eastAsia="tr-TR"/>
        </w:rPr>
        <w:t>–</w:t>
      </w:r>
      <w:r w:rsidRPr="00B81B66">
        <w:rPr>
          <w:kern w:val="0"/>
          <w:lang w:eastAsia="tr-TR"/>
        </w:rPr>
        <w:t xml:space="preserve"> Aynı Yönetmeliğin 5 inci maddesi aşağıdaki şekilde değiştirilmiştir.</w:t>
      </w:r>
    </w:p>
    <w:p w14:paraId="6B28D175" w14:textId="7B0A48FC" w:rsidR="00B81B66" w:rsidRPr="00B81B66" w:rsidRDefault="00B81B66" w:rsidP="00B81B66">
      <w:pPr>
        <w:spacing w:line="276" w:lineRule="auto"/>
        <w:ind w:left="170"/>
        <w:rPr>
          <w:kern w:val="0"/>
          <w:lang w:eastAsia="tr-TR"/>
        </w:rPr>
      </w:pPr>
      <w:r w:rsidRPr="00B81B66">
        <w:rPr>
          <w:kern w:val="0"/>
          <w:lang w:eastAsia="tr-TR"/>
        </w:rPr>
        <w:t>“</w:t>
      </w:r>
      <w:r w:rsidRPr="00B81B66">
        <w:rPr>
          <w:b/>
          <w:kern w:val="0"/>
          <w:lang w:eastAsia="tr-TR"/>
        </w:rPr>
        <w:t>MADDE 5 –</w:t>
      </w:r>
      <w:r w:rsidRPr="00B81B66">
        <w:rPr>
          <w:kern w:val="0"/>
          <w:lang w:eastAsia="tr-TR"/>
        </w:rPr>
        <w:t xml:space="preserve"> (1) Şirketler matematik karşılık ayrılan sigorta sözleşmeleri hariç diğer sözleşmeler için kazanılmamış primler karşılığı ayırmak zorundadır. Yıllık veya bir yıldan kısa süreli aralıklarla yenilenen sigorta teminatı içeren bir yıldan uzun süreli sigorta sözleşmelerinin yıllık sigorta teminatına karşılık gelen primleri için de kazanılmamış primler karşılığı ayrılır.</w:t>
      </w:r>
    </w:p>
    <w:p w14:paraId="17F85989" w14:textId="549EDCD6" w:rsidR="00B81B66" w:rsidRPr="00B81B66" w:rsidRDefault="00B81B66" w:rsidP="00B81B66">
      <w:pPr>
        <w:spacing w:line="276" w:lineRule="auto"/>
        <w:ind w:left="170"/>
        <w:rPr>
          <w:kern w:val="0"/>
          <w:lang w:eastAsia="tr-TR"/>
        </w:rPr>
      </w:pPr>
      <w:r w:rsidRPr="00B81B66">
        <w:rPr>
          <w:kern w:val="0"/>
          <w:lang w:eastAsia="tr-TR"/>
        </w:rPr>
        <w:t xml:space="preserve">(2) Ölüm, yaşama ve her ikisinin kapsandığı hem ölüm hem de yaşama ihtimallerine bağlı teminatlar ile bu teminatlara ek olarak verilen teminatlara ilişkin sözleşmeler hayat sigortası sözleşmesi sayılır ve bunlara ait primler hayat sigortası primi olarak kabul edilir. </w:t>
      </w:r>
    </w:p>
    <w:p w14:paraId="2D8FA321" w14:textId="6D8AF028" w:rsidR="00B81B66" w:rsidRPr="00B81B66" w:rsidRDefault="00B81B66" w:rsidP="00B81B66">
      <w:pPr>
        <w:spacing w:line="276" w:lineRule="auto"/>
        <w:ind w:left="170"/>
        <w:rPr>
          <w:kern w:val="0"/>
          <w:lang w:eastAsia="tr-TR"/>
        </w:rPr>
      </w:pPr>
      <w:r w:rsidRPr="00B81B66">
        <w:rPr>
          <w:kern w:val="0"/>
          <w:lang w:eastAsia="tr-TR"/>
        </w:rPr>
        <w:t xml:space="preserve">(3) Ek teminatların hayat sigortası sözleşmesi ile beraber paket sözleşme olarak verildiği hallerde, bu teminatlar birlikte verildiği hayat sigortası sözleşmelerinden tamamıyla bağımsız olarak değerlendirilir. </w:t>
      </w:r>
    </w:p>
    <w:p w14:paraId="7A71F1F7" w14:textId="062C1663" w:rsidR="00B81B66" w:rsidRPr="00B81B66" w:rsidRDefault="00B81B66" w:rsidP="00B81B66">
      <w:pPr>
        <w:spacing w:line="276" w:lineRule="auto"/>
        <w:ind w:left="170"/>
        <w:rPr>
          <w:kern w:val="0"/>
          <w:lang w:eastAsia="tr-TR"/>
        </w:rPr>
      </w:pPr>
      <w:r w:rsidRPr="00B81B66">
        <w:rPr>
          <w:kern w:val="0"/>
          <w:lang w:eastAsia="tr-TR"/>
        </w:rPr>
        <w:t>(5) Kazanılmamış primler karşılığının hesaplanması sırasında, sigorta teminatının başladığı gün ile bitiş günü yarım gün olarak dikkate alınır ve buna göre hesaplama yapılır.</w:t>
      </w:r>
    </w:p>
    <w:p w14:paraId="005C8DCA" w14:textId="64637E26" w:rsidR="00B81B66" w:rsidRPr="00B81B66" w:rsidRDefault="00B81B66" w:rsidP="00B81B66">
      <w:pPr>
        <w:spacing w:line="276" w:lineRule="auto"/>
        <w:ind w:left="170"/>
        <w:rPr>
          <w:kern w:val="0"/>
          <w:lang w:eastAsia="tr-TR"/>
        </w:rPr>
      </w:pPr>
      <w:r w:rsidRPr="00B81B66">
        <w:rPr>
          <w:kern w:val="0"/>
          <w:lang w:eastAsia="tr-TR"/>
        </w:rPr>
        <w:t>(7) Gün veya 1/24 esasına göre hesaplama yapılması mümkün olmayan reasürans ve retrosesyon işlemlerinde, kazanılmamış primler karşılığı 1/8 esasına göre ayrılabilir.</w:t>
      </w:r>
    </w:p>
    <w:p w14:paraId="79B83800" w14:textId="57EB5BC2" w:rsidR="00B81B66" w:rsidRPr="00B81B66" w:rsidRDefault="00B81B66" w:rsidP="00B81B66">
      <w:pPr>
        <w:spacing w:line="276" w:lineRule="auto"/>
        <w:ind w:left="170"/>
        <w:rPr>
          <w:kern w:val="0"/>
          <w:lang w:eastAsia="tr-TR"/>
        </w:rPr>
      </w:pPr>
      <w:r w:rsidRPr="00B81B66">
        <w:rPr>
          <w:kern w:val="0"/>
          <w:lang w:eastAsia="tr-TR"/>
        </w:rPr>
        <w:t>(8) Belirli bir bitiş tarihi olmayan emtea nakliyat sigortası sözleşmelerinde, istatistiki verilere göre tahmini bitiş tarihlerinin tespit edilmesi ve buna göre kazanılmamış primler karşılığı ayrılması gerekmektedir. Bu hesabın yapılamaması durumunda, son üç ayda tahakkuk etmiş primlerin % 50'si kazanılmamış primler karşılığı olarak ayrılır.</w:t>
      </w:r>
    </w:p>
    <w:p w14:paraId="2B494BFE" w14:textId="7B2C0727" w:rsidR="00B81B66" w:rsidRPr="00B81B66" w:rsidRDefault="00B81B66" w:rsidP="00B81B66">
      <w:pPr>
        <w:spacing w:line="276" w:lineRule="auto"/>
        <w:ind w:left="170"/>
        <w:rPr>
          <w:kern w:val="0"/>
          <w:lang w:eastAsia="tr-TR"/>
        </w:rPr>
      </w:pPr>
      <w:r w:rsidRPr="00B81B66">
        <w:rPr>
          <w:kern w:val="0"/>
          <w:lang w:eastAsia="tr-TR"/>
        </w:rPr>
        <w:t xml:space="preserve">(9) Kazanılmamış primler karşılığı reasürör payı tutarının hesabında yürürlükte bulunan veya ilgili reasürans anlaşmalarının şartları dikkate alınır. </w:t>
      </w:r>
    </w:p>
    <w:p w14:paraId="35F51808" w14:textId="133CEC39" w:rsidR="00B81B66" w:rsidRPr="00B81B66" w:rsidRDefault="00B81B66" w:rsidP="00B81B66">
      <w:pPr>
        <w:spacing w:line="276" w:lineRule="auto"/>
        <w:ind w:left="170"/>
        <w:rPr>
          <w:kern w:val="0"/>
          <w:lang w:eastAsia="tr-TR"/>
        </w:rPr>
      </w:pPr>
      <w:r w:rsidRPr="00B81B66">
        <w:rPr>
          <w:kern w:val="0"/>
          <w:lang w:eastAsia="tr-TR"/>
        </w:rPr>
        <w:t>(10) Net primin hesaplanmasında, bölüşmesiz reasürans anlaşmaları için ödenen tutarların ilgili döneme tekabül eden kısmı devredilen prim olarak telakki edilir.</w:t>
      </w:r>
    </w:p>
    <w:p w14:paraId="16A7ACB2" w14:textId="42CE6636" w:rsidR="00B81B66" w:rsidRPr="00B81B66" w:rsidRDefault="00B81B66" w:rsidP="00B81B66">
      <w:pPr>
        <w:spacing w:line="276" w:lineRule="auto"/>
        <w:ind w:left="170"/>
        <w:rPr>
          <w:kern w:val="0"/>
          <w:lang w:eastAsia="tr-TR"/>
        </w:rPr>
      </w:pPr>
      <w:r w:rsidRPr="00B81B66">
        <w:rPr>
          <w:kern w:val="0"/>
          <w:lang w:eastAsia="tr-TR"/>
        </w:rPr>
        <w:t>(11) Dövize endeksli sigorta sözleşmelerine ilişkin kazanılmamış primler karşılığının hesabı sırasında, sigorta sözleşmesinde ayrıca bir kur belirtilmemişse ilgili primin tahakkuk tarihindeki Türkiye Cumhuriyet Merkez Bankasının Resmî Gazete’de ilan ettiği döviz satış kurları dikkate alınır.</w:t>
      </w:r>
    </w:p>
    <w:p w14:paraId="3998EE93" w14:textId="0333FB90" w:rsidR="00B81B66" w:rsidRPr="00B81B66" w:rsidRDefault="00B81B66" w:rsidP="00B81B66">
      <w:pPr>
        <w:spacing w:line="276" w:lineRule="auto"/>
        <w:ind w:left="170"/>
        <w:rPr>
          <w:kern w:val="0"/>
          <w:lang w:eastAsia="tr-TR"/>
        </w:rPr>
      </w:pPr>
      <w:r w:rsidRPr="00B81B66">
        <w:rPr>
          <w:kern w:val="0"/>
          <w:lang w:eastAsia="tr-TR"/>
        </w:rPr>
        <w:t>(12) İlgili hesap yılı içerisinde; cari hesap dönemi itibarıyla finansal tablolar düzenlenirken Devreden Kazanılmamış Primler Karşılığı rakamı olarak, bir önceki hesap yılı sonunun finansal tablolarında yer alan Kazanılmamış Primler Karşılığı rakamı yazılmalı, dönem Kazanılmamış Primler Karşılığı olarak ise finansal tabloların düzenlendiği tarih itibarıyla yürürlükte olan sigorta sözleşme primlerinin gün esasına göre hesaplanarak bulunan kazanılmamış kısımları toplamı alınmalıdır.”</w:t>
      </w:r>
    </w:p>
    <w:p w14:paraId="3B0542F0" w14:textId="77777777" w:rsidR="00B81B66" w:rsidRPr="00B81B66" w:rsidRDefault="00B81B66" w:rsidP="00B81B66">
      <w:pPr>
        <w:spacing w:line="276" w:lineRule="auto"/>
        <w:ind w:left="170"/>
        <w:rPr>
          <w:kern w:val="0"/>
          <w:lang w:eastAsia="tr-TR"/>
        </w:rPr>
      </w:pPr>
    </w:p>
    <w:p w14:paraId="53E5BA3E" w14:textId="77777777" w:rsidR="00B81B66" w:rsidRPr="00B81B66" w:rsidRDefault="00B81B66" w:rsidP="00B81B66">
      <w:pPr>
        <w:spacing w:line="276" w:lineRule="auto"/>
        <w:ind w:left="170"/>
        <w:rPr>
          <w:kern w:val="0"/>
          <w:lang w:eastAsia="tr-TR"/>
        </w:rPr>
      </w:pPr>
      <w:r w:rsidRPr="00B81B66">
        <w:rPr>
          <w:b/>
          <w:kern w:val="0"/>
          <w:lang w:eastAsia="tr-TR"/>
        </w:rPr>
        <w:t>MADDE 3 –</w:t>
      </w:r>
      <w:r w:rsidRPr="00B81B66">
        <w:rPr>
          <w:kern w:val="0"/>
          <w:lang w:eastAsia="tr-TR"/>
        </w:rPr>
        <w:t xml:space="preserve"> Aynı Yönetmeliğin 6 ncı maddesi aşağıdaki şekilde değiştirilmiştir.</w:t>
      </w:r>
    </w:p>
    <w:p w14:paraId="2F26BA2F" w14:textId="7C4683E6" w:rsidR="00B81B66" w:rsidRPr="00B81B66" w:rsidRDefault="00B81B66" w:rsidP="00B81B66">
      <w:pPr>
        <w:spacing w:line="276" w:lineRule="auto"/>
        <w:ind w:left="170"/>
        <w:rPr>
          <w:kern w:val="0"/>
          <w:lang w:eastAsia="tr-TR"/>
        </w:rPr>
      </w:pPr>
      <w:r w:rsidRPr="00B81B66">
        <w:rPr>
          <w:kern w:val="0"/>
          <w:lang w:eastAsia="tr-TR"/>
        </w:rPr>
        <w:t>“</w:t>
      </w:r>
      <w:r w:rsidRPr="00B81B66">
        <w:rPr>
          <w:b/>
          <w:kern w:val="0"/>
          <w:lang w:eastAsia="tr-TR"/>
        </w:rPr>
        <w:t>MADDE 6 –</w:t>
      </w:r>
      <w:r w:rsidRPr="00B81B66">
        <w:rPr>
          <w:kern w:val="0"/>
          <w:lang w:eastAsia="tr-TR"/>
        </w:rPr>
        <w:t xml:space="preserve"> (1) Sigorta sözleşmesinin süresi boyunca üstlenilen risk düzeyi ile kazanılan primlerin zamana bağlı dağılımının uyumlu olmadığı kabul edilen sigorta branşlarında, ayrıca kazanılmamış </w:t>
      </w:r>
      <w:r w:rsidRPr="00B81B66">
        <w:rPr>
          <w:kern w:val="0"/>
          <w:lang w:eastAsia="tr-TR"/>
        </w:rPr>
        <w:lastRenderedPageBreak/>
        <w:t>primler karşılığının şirketin taşıdığı risk ve beklenen masraf düzeyine göre yetersiz kalması halinde ayrılır.</w:t>
      </w:r>
    </w:p>
    <w:p w14:paraId="7BC178DC" w14:textId="383EFE6D" w:rsidR="00B81B66" w:rsidRPr="00B81B66" w:rsidRDefault="00B81B66" w:rsidP="00B81B66">
      <w:pPr>
        <w:spacing w:line="276" w:lineRule="auto"/>
        <w:ind w:left="170"/>
        <w:rPr>
          <w:kern w:val="0"/>
          <w:lang w:eastAsia="tr-TR"/>
        </w:rPr>
      </w:pPr>
      <w:r w:rsidRPr="00B81B66">
        <w:rPr>
          <w:kern w:val="0"/>
          <w:lang w:eastAsia="tr-TR"/>
        </w:rPr>
        <w:t xml:space="preserve">(2) Şirketler devam eden riskler karşılığı ayırırken, yürürlükte bulunan ve kazanılmamış primler karşılığı ayrılan sigorta sözleşmeleri dolayısıyla ortaya çıkabilecek tazminatların ilgili sözleşmeler için ayrılmış kazanılmamış primler karşılığından fazla olma ihtimaline karşı, her hesap dönemi itibarıyla, son 12 ayı kapsayacak şekilde yeterlilik testi yapmak zorundadır. </w:t>
      </w:r>
    </w:p>
    <w:p w14:paraId="48467D51" w14:textId="63B36D58" w:rsidR="00B81B66" w:rsidRPr="00B81B66" w:rsidRDefault="00B81B66" w:rsidP="00B81B66">
      <w:pPr>
        <w:spacing w:line="276" w:lineRule="auto"/>
        <w:ind w:left="170"/>
        <w:rPr>
          <w:kern w:val="0"/>
          <w:lang w:eastAsia="tr-TR"/>
        </w:rPr>
      </w:pPr>
      <w:r w:rsidRPr="00B81B66">
        <w:rPr>
          <w:kern w:val="0"/>
          <w:lang w:eastAsia="tr-TR"/>
        </w:rPr>
        <w:t>(4) Devam eden riskler karşılığının hesabı sırasında kullanılan muallak tazminat karşılıklarının; tahakkuk etmiş ve hesaben tespit edilmiş ve gerçekleşmiş ancak rapor edilmemiş muallak tazminatlar ile gider paylarını ve gerekli durumlarda muallak tazminat yeterlilik farkını içermesi gerekmektedir.</w:t>
      </w:r>
    </w:p>
    <w:p w14:paraId="53426DC2" w14:textId="238C30F7" w:rsidR="00B81B66" w:rsidRPr="00B81B66" w:rsidRDefault="00B81B66" w:rsidP="00B81B66">
      <w:pPr>
        <w:spacing w:line="276" w:lineRule="auto"/>
        <w:ind w:left="170"/>
        <w:rPr>
          <w:kern w:val="0"/>
          <w:lang w:eastAsia="tr-TR"/>
        </w:rPr>
      </w:pPr>
      <w:r w:rsidRPr="00B81B66">
        <w:rPr>
          <w:kern w:val="0"/>
          <w:lang w:eastAsia="tr-TR"/>
        </w:rPr>
        <w:t>(5) Şirketler kendi tarifelerini hazırlama ve bu tarifeleri güncelleme aşamasında devam eden riskler karşılığı tutarını dikkate almak zorundadır.</w:t>
      </w:r>
    </w:p>
    <w:p w14:paraId="117FBFB5" w14:textId="77777777" w:rsidR="00B81B66" w:rsidRDefault="00B81B66" w:rsidP="00B81B66">
      <w:pPr>
        <w:spacing w:line="276" w:lineRule="auto"/>
        <w:ind w:left="170"/>
        <w:rPr>
          <w:kern w:val="0"/>
          <w:lang w:eastAsia="tr-TR"/>
        </w:rPr>
      </w:pPr>
    </w:p>
    <w:p w14:paraId="36798371" w14:textId="1A001DB1" w:rsidR="00B81B66" w:rsidRPr="00B81B66" w:rsidRDefault="00B81B66" w:rsidP="00B81B66">
      <w:pPr>
        <w:spacing w:line="276" w:lineRule="auto"/>
        <w:ind w:left="170"/>
        <w:rPr>
          <w:kern w:val="0"/>
          <w:lang w:eastAsia="tr-TR"/>
        </w:rPr>
      </w:pPr>
      <w:r w:rsidRPr="00B81B66">
        <w:rPr>
          <w:b/>
          <w:kern w:val="0"/>
          <w:lang w:eastAsia="tr-TR"/>
        </w:rPr>
        <w:t>MADDE 4 –</w:t>
      </w:r>
      <w:r w:rsidRPr="00B81B66">
        <w:rPr>
          <w:kern w:val="0"/>
          <w:lang w:eastAsia="tr-TR"/>
        </w:rPr>
        <w:t xml:space="preserve"> Aynı Yönetmeliğin 7 nci maddesi aşağıdaki şekilde değiştirilmiştir.</w:t>
      </w:r>
    </w:p>
    <w:p w14:paraId="6EB46954" w14:textId="543F4327" w:rsidR="00B81B66" w:rsidRPr="00B81B66" w:rsidRDefault="00B81B66" w:rsidP="00B81B66">
      <w:pPr>
        <w:spacing w:line="276" w:lineRule="auto"/>
        <w:ind w:left="170"/>
        <w:rPr>
          <w:kern w:val="0"/>
          <w:lang w:eastAsia="tr-TR"/>
        </w:rPr>
      </w:pPr>
      <w:r w:rsidRPr="00B81B66">
        <w:rPr>
          <w:kern w:val="0"/>
          <w:lang w:eastAsia="tr-TR"/>
        </w:rPr>
        <w:t>“</w:t>
      </w:r>
      <w:r w:rsidRPr="00B81B66">
        <w:rPr>
          <w:b/>
          <w:kern w:val="0"/>
          <w:lang w:eastAsia="tr-TR"/>
        </w:rPr>
        <w:t>MADDE 7 –</w:t>
      </w:r>
      <w:r w:rsidRPr="00B81B66">
        <w:rPr>
          <w:kern w:val="0"/>
          <w:lang w:eastAsia="tr-TR"/>
        </w:rPr>
        <w:t xml:space="preserve"> (1) Şirketler, tahakkuk etmiş ve hesaben tespit edilmiş ancak daha önceki hesap dönemlerinde veya cari hesap döneminde fiilen ödenmemiş tazminat bedelleri veya bu bedel hesaplanamamış ise tahmini bedelleri ile gerçekleşmiş ancak rapor edilmemiş tazminat bedelleri için muallak tazminat karşılığı ayırmak zorundadır. </w:t>
      </w:r>
    </w:p>
    <w:p w14:paraId="1A39AF35" w14:textId="6CEA4344" w:rsidR="00B81B66" w:rsidRPr="00B81B66" w:rsidRDefault="00B81B66" w:rsidP="00B81B66">
      <w:pPr>
        <w:spacing w:line="276" w:lineRule="auto"/>
        <w:ind w:left="170"/>
        <w:rPr>
          <w:kern w:val="0"/>
          <w:lang w:eastAsia="tr-TR"/>
        </w:rPr>
      </w:pPr>
      <w:r w:rsidRPr="00B81B66">
        <w:rPr>
          <w:kern w:val="0"/>
          <w:lang w:eastAsia="tr-TR"/>
        </w:rPr>
        <w:t>(9) Yeni faaliyete başlanan branşlara ilişkin hesaplamalarda, faaliyete başlandığı tarihten itibaren beş yıl boyunca şirket aktüeri tarafından yapılan hesaplamalara göre gerçekleşmiş ancak rapor edilmemiş muallak tazminat karşılığı ile muallak tazminat karşılığı yeterlilik farkı hesaplanır. Ayrıca, hasar dosya adedi olarak yetersiz olduğuna karar verildiği için aktüer tarafından büyük hasar ayıklaması yapılan branşlarda da, ayıklanan büyük hasarlar için yeterlilik farkı hesaplanacaktır.</w:t>
      </w:r>
    </w:p>
    <w:p w14:paraId="3203491D" w14:textId="7223709A" w:rsidR="00B81B66" w:rsidRPr="00B81B66" w:rsidRDefault="00B81B66" w:rsidP="00B81B66">
      <w:pPr>
        <w:spacing w:line="276" w:lineRule="auto"/>
        <w:ind w:left="170"/>
        <w:rPr>
          <w:kern w:val="0"/>
          <w:lang w:eastAsia="tr-TR"/>
        </w:rPr>
      </w:pPr>
      <w:r w:rsidRPr="00B81B66">
        <w:rPr>
          <w:kern w:val="0"/>
          <w:lang w:eastAsia="tr-TR"/>
        </w:rPr>
        <w:t>(13) Muallak tazminat karşılığı reasürör tutarının hesabında, yürürlükte bulunan veya ilgili reasürans anlaşmalarının şartları dikkate alınır.</w:t>
      </w:r>
    </w:p>
    <w:p w14:paraId="4318B49A" w14:textId="54A3A92C" w:rsidR="00B81B66" w:rsidRPr="00B81B66" w:rsidRDefault="00B81B66" w:rsidP="00B81B66">
      <w:pPr>
        <w:spacing w:line="276" w:lineRule="auto"/>
        <w:ind w:left="170"/>
        <w:rPr>
          <w:kern w:val="0"/>
          <w:lang w:eastAsia="tr-TR"/>
        </w:rPr>
      </w:pPr>
      <w:r w:rsidRPr="00B81B66">
        <w:rPr>
          <w:kern w:val="0"/>
          <w:lang w:eastAsia="tr-TR"/>
        </w:rPr>
        <w:t>(15) Muallak tazminat karşılığı tutarları ile gerçekleşmiş ancak rapor edilmemiş tazminat bedellerinin sözleşme bazında hesaplanması esas olmakla birlikte, reasürans şirketlerinin sigorta şirketlerinden sözleşme bazında bilgi alamadığı durumlarda, reasürans şirketleri sigorta şirketleri tarafından kendilerine bildirilen verileri esas alabilirler.</w:t>
      </w:r>
    </w:p>
    <w:p w14:paraId="25D55455" w14:textId="2CE5613D" w:rsidR="00B81B66" w:rsidRPr="00B81B66" w:rsidRDefault="00B81B66" w:rsidP="00B81B66">
      <w:pPr>
        <w:spacing w:line="276" w:lineRule="auto"/>
        <w:ind w:left="170"/>
        <w:rPr>
          <w:kern w:val="0"/>
          <w:lang w:eastAsia="tr-TR"/>
        </w:rPr>
      </w:pPr>
      <w:r w:rsidRPr="00B81B66">
        <w:rPr>
          <w:kern w:val="0"/>
          <w:lang w:eastAsia="tr-TR"/>
        </w:rPr>
        <w:t xml:space="preserve">(16) Tazminat bedelinin çek veya senet ile ödendiği durumlarda, çek veya senet tutarı ilgili banka tarafından sigortalıya ödeninceye kadar çek veya senet tutarı muallak tazminatlardan indirilemez. </w:t>
      </w:r>
    </w:p>
    <w:p w14:paraId="0411194C" w14:textId="62261B55" w:rsidR="00B81B66" w:rsidRPr="00B81B66" w:rsidRDefault="00B81B66" w:rsidP="00B81B66">
      <w:pPr>
        <w:spacing w:line="276" w:lineRule="auto"/>
        <w:ind w:left="170"/>
        <w:rPr>
          <w:kern w:val="0"/>
          <w:lang w:eastAsia="tr-TR"/>
        </w:rPr>
      </w:pPr>
      <w:r w:rsidRPr="00B81B66">
        <w:rPr>
          <w:kern w:val="0"/>
          <w:lang w:eastAsia="tr-TR"/>
        </w:rPr>
        <w:t xml:space="preserve">(17) Dövize endeksli sigorta sözleşmelerine ilişkin tazminatlar öncelikle sözleşmede yazılı olan kurdan değerlenir. Sözleşmede ayrıca bir kur belirtilmemişse,  tazminatlar finansal tabloların düzenlendiği tarih itibariyle Türkiye Cumhuriyet Merkez Bankasının Resmî Gazete’de ilan ettiği döviz satış kurlarına göre değerlenir. </w:t>
      </w:r>
    </w:p>
    <w:p w14:paraId="1F0438FA" w14:textId="6AF3723B" w:rsidR="00B81B66" w:rsidRPr="00B81B66" w:rsidRDefault="00B81B66" w:rsidP="00B81B66">
      <w:pPr>
        <w:spacing w:line="276" w:lineRule="auto"/>
        <w:ind w:left="170"/>
        <w:rPr>
          <w:kern w:val="0"/>
          <w:lang w:eastAsia="tr-TR"/>
        </w:rPr>
      </w:pPr>
      <w:r w:rsidRPr="00B81B66">
        <w:rPr>
          <w:kern w:val="0"/>
          <w:lang w:eastAsia="tr-TR"/>
        </w:rPr>
        <w:t>(18) Sigorta şirketinin anlaşmalı olduğu tamirhane ve servise sigorta şirketince ödeme yapılması suretiyle araçların tamir ettirilmesi durumunda, araç tamir edilerek tazminat alacaklısına karşı yükümlülük yerine getirilmiş olduğundan, bu durumdaki dosyalar sigortalıya ibraname imzalatılmasından veya aracın sigortalıya teslimine dair belge verilmesinden sonra muallak tazminat karşılıklarından çıkarılarak ödenen tazminatlar hesabına dahil edilir. Tamire ilişkin bedeller; tamirhane veya servise  ödeninceye kadar, ödenen tazminatlar hesabı karşılığında bilançonun pasif tarafındaki ayrı bir hesabın altında ilgili tamirhane veya servis hesabında izlenir. Ayrıca ilgili tamirhanenin veya servisin hesaplarında borçların hangi hesaplardan kaynaklandığı da gösterilir.</w:t>
      </w:r>
    </w:p>
    <w:p w14:paraId="000A836D" w14:textId="18721FEC" w:rsidR="00B81B66" w:rsidRPr="00B81B66" w:rsidRDefault="00B81B66" w:rsidP="00B81B66">
      <w:pPr>
        <w:spacing w:line="276" w:lineRule="auto"/>
        <w:ind w:left="170"/>
        <w:rPr>
          <w:kern w:val="0"/>
          <w:lang w:eastAsia="tr-TR"/>
        </w:rPr>
      </w:pPr>
      <w:r w:rsidRPr="00B81B66">
        <w:rPr>
          <w:kern w:val="0"/>
          <w:lang w:eastAsia="tr-TR"/>
        </w:rPr>
        <w:t>(19) Sigortalıların, sigorta şirketinin anlaşmalı olduğu sağlık kuruluşlarında bedeli sağlık kuruluşuna sigorta şirketince ödenmek suretiyle tedavi ettirilmesi durumunda, sigorta şirketi sigortalıya yükümlülüğünü yerine getirmiş olduğundan, tedavi giderlerinin sigorta şirketince ödenmesi beklenmeden bu durumdaki dosyalar sigortalıya ibraname imzalatılmasından veya fatura tutarına provizyon verilmesinden sonra muallak tazminat karşılığından çıkarılarak ödenen tazminatlar hesabına dahil edilmelidir. Tedavi bedelleri, sağlık kuruluşuna ödeninceye kadar, ödenen tazminatlar hesabı karşılığında bilançonun pasif tarafındaki ayrı bir hesabın altında ilgili sağlık kuruluşu  hesabında izlenir. Ayrıca ilgili sağlık kuruluşunun hesaplarında borçların hangi hesaplardan kaynaklandığı da gösterilir.</w:t>
      </w:r>
    </w:p>
    <w:p w14:paraId="31D929EE" w14:textId="77777777" w:rsidR="00B81B66" w:rsidRDefault="00B81B66" w:rsidP="00B81B66">
      <w:pPr>
        <w:spacing w:line="276" w:lineRule="auto"/>
        <w:ind w:left="170"/>
        <w:rPr>
          <w:kern w:val="0"/>
          <w:lang w:eastAsia="tr-TR"/>
        </w:rPr>
      </w:pPr>
    </w:p>
    <w:p w14:paraId="2E608D58" w14:textId="6D3F5628" w:rsidR="00B81B66" w:rsidRPr="00B81B66" w:rsidRDefault="00B81B66" w:rsidP="00B81B66">
      <w:pPr>
        <w:spacing w:line="276" w:lineRule="auto"/>
        <w:ind w:left="170"/>
        <w:rPr>
          <w:kern w:val="0"/>
          <w:lang w:eastAsia="tr-TR"/>
        </w:rPr>
      </w:pPr>
      <w:r w:rsidRPr="00B81B66">
        <w:rPr>
          <w:b/>
          <w:kern w:val="0"/>
          <w:lang w:eastAsia="tr-TR"/>
        </w:rPr>
        <w:lastRenderedPageBreak/>
        <w:t>MADDE 5 –</w:t>
      </w:r>
      <w:r w:rsidRPr="00B81B66">
        <w:rPr>
          <w:kern w:val="0"/>
          <w:lang w:eastAsia="tr-TR"/>
        </w:rPr>
        <w:t xml:space="preserve"> Aynı Yönetmeliğin 8 inci maddesinin üçüncü fıkrasının (a) bendinin ikinci cümlesinde yer alan “onaylı” ibaresi yürürlükten kaldırılmıştır.</w:t>
      </w:r>
    </w:p>
    <w:p w14:paraId="387635ED" w14:textId="77777777" w:rsidR="00B81B66" w:rsidRDefault="00B81B66" w:rsidP="00B81B66">
      <w:pPr>
        <w:spacing w:line="276" w:lineRule="auto"/>
        <w:ind w:left="170"/>
        <w:rPr>
          <w:b/>
          <w:kern w:val="0"/>
          <w:lang w:eastAsia="tr-TR"/>
        </w:rPr>
      </w:pPr>
    </w:p>
    <w:p w14:paraId="491B2AE8" w14:textId="732A4A6D" w:rsidR="00B81B66" w:rsidRPr="00B81B66" w:rsidRDefault="00B81B66" w:rsidP="00B81B66">
      <w:pPr>
        <w:spacing w:line="276" w:lineRule="auto"/>
        <w:ind w:left="170"/>
        <w:rPr>
          <w:kern w:val="0"/>
          <w:lang w:eastAsia="tr-TR"/>
        </w:rPr>
      </w:pPr>
      <w:r w:rsidRPr="00B81B66">
        <w:rPr>
          <w:b/>
          <w:kern w:val="0"/>
          <w:lang w:eastAsia="tr-TR"/>
        </w:rPr>
        <w:t>MADDE 6 –</w:t>
      </w:r>
      <w:r w:rsidRPr="00B81B66">
        <w:rPr>
          <w:kern w:val="0"/>
          <w:lang w:eastAsia="tr-TR"/>
        </w:rPr>
        <w:t xml:space="preserve"> Aynı Yönetmeliğin 9 uncu maddesi aşağıdaki şekilde değiştirilmiştir.</w:t>
      </w:r>
    </w:p>
    <w:p w14:paraId="3249E7C4" w14:textId="29FFA887" w:rsidR="00B81B66" w:rsidRPr="00B81B66" w:rsidRDefault="00B81B66" w:rsidP="00B81B66">
      <w:pPr>
        <w:spacing w:line="276" w:lineRule="auto"/>
        <w:ind w:left="170"/>
        <w:rPr>
          <w:kern w:val="0"/>
          <w:lang w:eastAsia="tr-TR"/>
        </w:rPr>
      </w:pPr>
      <w:r w:rsidRPr="00B81B66">
        <w:rPr>
          <w:kern w:val="0"/>
          <w:lang w:eastAsia="tr-TR"/>
        </w:rPr>
        <w:t>(4) Karşılık ayrılmasına son beş finansal yılda yazılan net primlerin en yüksek tutarının %150’sine ulaşılıncaya kadar devam edilir.  Beşinci yılın geçmesini müteakiben prim üretimi rakamına bağlı olarak karşılık rakamının bir önceki yılki bilançoda yer alan karşılık tutarına göre daha düşük çıkması durumunda aradaki fark özsermaye altında diğer kar yedekleri içerisinde gösterilir. Özsermayeye aktarılan bu tutar yedek olarak tutulabileceği gibi sermaye artırımına konu olabilir veya tazminat ödemelerinde kullanılabilir.</w:t>
      </w:r>
    </w:p>
    <w:p w14:paraId="584D09BE" w14:textId="4FF11E4E" w:rsidR="00B81B66" w:rsidRPr="00B81B66" w:rsidRDefault="00B81B66" w:rsidP="00B81B66">
      <w:pPr>
        <w:spacing w:line="276" w:lineRule="auto"/>
        <w:ind w:left="170"/>
        <w:rPr>
          <w:kern w:val="0"/>
          <w:lang w:eastAsia="tr-TR"/>
        </w:rPr>
      </w:pPr>
      <w:r w:rsidRPr="00B81B66">
        <w:rPr>
          <w:kern w:val="0"/>
          <w:lang w:eastAsia="tr-TR"/>
        </w:rPr>
        <w:t xml:space="preserve"> (5) Vefat teminatının verildiği hayat sigortalarında dengeleme karşılığının hesabı sırasında şirketler kendi istatistik verilerini kullanacaklardır. Gerekli hesaplamayı yapabilecek veri seti bulunmayan şirketler vefat net priminin %11’ini deprem primi kabul edecek ve bu tutarların %12’si oranında karşılık ayıracaklardır. </w:t>
      </w:r>
    </w:p>
    <w:p w14:paraId="424EF03E" w14:textId="77777777" w:rsidR="00B81B66" w:rsidRDefault="00B81B66" w:rsidP="00B81B66">
      <w:pPr>
        <w:spacing w:line="276" w:lineRule="auto"/>
        <w:ind w:left="170"/>
        <w:rPr>
          <w:b/>
          <w:kern w:val="0"/>
          <w:lang w:eastAsia="tr-TR"/>
        </w:rPr>
      </w:pPr>
    </w:p>
    <w:p w14:paraId="1E7B9910" w14:textId="70247950" w:rsidR="00B81B66" w:rsidRPr="00B81B66" w:rsidRDefault="00B81B66" w:rsidP="00B81B66">
      <w:pPr>
        <w:spacing w:line="276" w:lineRule="auto"/>
        <w:ind w:left="170"/>
        <w:rPr>
          <w:kern w:val="0"/>
          <w:lang w:eastAsia="tr-TR"/>
        </w:rPr>
      </w:pPr>
      <w:r w:rsidRPr="00B81B66">
        <w:rPr>
          <w:b/>
          <w:kern w:val="0"/>
          <w:lang w:eastAsia="tr-TR"/>
        </w:rPr>
        <w:t>MADDE 7 –</w:t>
      </w:r>
      <w:r w:rsidRPr="00B81B66">
        <w:rPr>
          <w:kern w:val="0"/>
          <w:lang w:eastAsia="tr-TR"/>
        </w:rPr>
        <w:t xml:space="preserve"> Aynı Yönetmeliğin 10 uncu maddesi aşağıdaki şekilde değiştirilmiştir.</w:t>
      </w:r>
    </w:p>
    <w:p w14:paraId="06ABC8E4" w14:textId="69634FDD" w:rsidR="00B81B66" w:rsidRPr="00B81B66" w:rsidRDefault="00B81B66" w:rsidP="00B81B66">
      <w:pPr>
        <w:spacing w:line="276" w:lineRule="auto"/>
        <w:ind w:left="170"/>
        <w:rPr>
          <w:kern w:val="0"/>
          <w:lang w:eastAsia="tr-TR"/>
        </w:rPr>
      </w:pPr>
      <w:r w:rsidRPr="00B81B66">
        <w:rPr>
          <w:kern w:val="0"/>
          <w:lang w:eastAsia="tr-TR"/>
        </w:rPr>
        <w:t>“</w:t>
      </w:r>
      <w:r w:rsidRPr="00B81B66">
        <w:rPr>
          <w:b/>
          <w:kern w:val="0"/>
          <w:lang w:eastAsia="tr-TR"/>
        </w:rPr>
        <w:t>MADDE 10 –</w:t>
      </w:r>
      <w:r w:rsidRPr="00B81B66">
        <w:rPr>
          <w:kern w:val="0"/>
          <w:lang w:eastAsia="tr-TR"/>
        </w:rPr>
        <w:t xml:space="preserve"> (1) İkramiye ve indirimler karşılığı, cari dönemde yaşayan poliçelere ilişkin olarak sigortalıya müteakip dönemlerde yenilemeye bağlı olmaksızın bir ikramiye veya indirim taahhüdünde bulunulduğu takdirde ayrılması gereken karşılıktır. Sigorta şirketlerinin ikramiye ve indirim uygulamasına gitmesi durumunda, cari yılın teknik sonuçlarına göre sigortalılar ve lehdarlar için ayrılan ikramiye ve indirim tutarlarından oluşur.</w:t>
      </w:r>
    </w:p>
    <w:p w14:paraId="53FCA174" w14:textId="77777777" w:rsidR="00B81B66" w:rsidRDefault="00B81B66" w:rsidP="00B81B66">
      <w:pPr>
        <w:spacing w:line="276" w:lineRule="auto"/>
        <w:ind w:left="170"/>
        <w:rPr>
          <w:kern w:val="0"/>
          <w:lang w:eastAsia="tr-TR"/>
        </w:rPr>
      </w:pPr>
    </w:p>
    <w:p w14:paraId="074690A6" w14:textId="21FBCD38" w:rsidR="00B81B66" w:rsidRPr="00B81B66" w:rsidRDefault="00B81B66" w:rsidP="00B81B66">
      <w:pPr>
        <w:spacing w:line="276" w:lineRule="auto"/>
        <w:ind w:left="170"/>
        <w:rPr>
          <w:kern w:val="0"/>
          <w:lang w:eastAsia="tr-TR"/>
        </w:rPr>
      </w:pPr>
      <w:r w:rsidRPr="00B81B66">
        <w:rPr>
          <w:b/>
          <w:kern w:val="0"/>
          <w:lang w:eastAsia="tr-TR"/>
        </w:rPr>
        <w:t>MADDE 11 –</w:t>
      </w:r>
      <w:r w:rsidRPr="005C541F">
        <w:rPr>
          <w:kern w:val="0"/>
          <w:lang w:eastAsia="tr-TR"/>
        </w:rPr>
        <w:t> Bu Yönetmelik 30 Eylül 2010 tarihinden itibaren geçerli olmak üzere yayımı tarihinde yürürlüğe girer.</w:t>
      </w:r>
    </w:p>
    <w:p w14:paraId="05CB1F7D" w14:textId="77777777" w:rsidR="00B81B66" w:rsidRDefault="00B81B66" w:rsidP="00B81B66">
      <w:pPr>
        <w:spacing w:line="276" w:lineRule="auto"/>
        <w:ind w:left="170"/>
        <w:rPr>
          <w:kern w:val="0"/>
          <w:lang w:eastAsia="tr-TR"/>
        </w:rPr>
      </w:pPr>
    </w:p>
    <w:p w14:paraId="3927DE29" w14:textId="1DCABD41" w:rsidR="00B81B66" w:rsidRPr="00B81B66" w:rsidRDefault="00B81B66" w:rsidP="00B81B66">
      <w:pPr>
        <w:spacing w:line="276" w:lineRule="auto"/>
        <w:ind w:left="170"/>
        <w:rPr>
          <w:kern w:val="0"/>
          <w:lang w:eastAsia="tr-TR"/>
        </w:rPr>
      </w:pPr>
      <w:r w:rsidRPr="00B81B66">
        <w:rPr>
          <w:b/>
          <w:kern w:val="0"/>
          <w:lang w:eastAsia="tr-TR"/>
        </w:rPr>
        <w:t>MADDE 12 –</w:t>
      </w:r>
      <w:r w:rsidRPr="005C541F">
        <w:rPr>
          <w:kern w:val="0"/>
          <w:lang w:eastAsia="tr-TR"/>
        </w:rPr>
        <w:t> Bu Yönetmelik hükümlerini Hazine Müsteşarlığının bağlı bulunduğu Bakan yürütür.</w:t>
      </w:r>
    </w:p>
    <w:p w14:paraId="76BBFBE1"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DFA7" w14:textId="77777777" w:rsidR="00B81B66" w:rsidRDefault="00B81B66" w:rsidP="00B81B66">
      <w:r>
        <w:separator/>
      </w:r>
    </w:p>
  </w:endnote>
  <w:endnote w:type="continuationSeparator" w:id="0">
    <w:p w14:paraId="24A3C91F" w14:textId="77777777" w:rsidR="00B81B66" w:rsidRDefault="00B81B66" w:rsidP="00B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422B" w14:textId="60707A12" w:rsidR="00B81B66" w:rsidRPr="00940E35" w:rsidRDefault="00940E35" w:rsidP="00940E35">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D2AA" w14:textId="64AFDCF9" w:rsidR="00B81B66" w:rsidRPr="00940E35" w:rsidRDefault="00940E35" w:rsidP="00940E35">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A482" w14:textId="75FED3ED" w:rsidR="00B81B66" w:rsidRPr="00940E35" w:rsidRDefault="00940E35" w:rsidP="00940E35">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6AFE7" w14:textId="77777777" w:rsidR="00B81B66" w:rsidRDefault="00B81B66" w:rsidP="00B81B66">
      <w:r>
        <w:separator/>
      </w:r>
    </w:p>
  </w:footnote>
  <w:footnote w:type="continuationSeparator" w:id="0">
    <w:p w14:paraId="019F8630" w14:textId="77777777" w:rsidR="00B81B66" w:rsidRDefault="00B81B66" w:rsidP="00B8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E738" w14:textId="77777777" w:rsidR="00B81B66" w:rsidRDefault="00B81B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7D2F" w14:textId="77777777" w:rsidR="00B81B66" w:rsidRDefault="00B81B6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7EA0" w14:textId="77777777" w:rsidR="00B81B66" w:rsidRDefault="00B81B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5A"/>
    <w:rsid w:val="00307030"/>
    <w:rsid w:val="00626E7B"/>
    <w:rsid w:val="00940E35"/>
    <w:rsid w:val="00B81B66"/>
    <w:rsid w:val="00BA2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38D7A"/>
  <w15:chartTrackingRefBased/>
  <w15:docId w15:val="{63F0E985-DD9B-4F9F-9B67-BC70C485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B66"/>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qFormat/>
    <w:rsid w:val="00B81B66"/>
    <w:pPr>
      <w:keepNext/>
      <w:widowControl w:val="0"/>
      <w:spacing w:line="260" w:lineRule="atLeast"/>
      <w:ind w:right="17"/>
      <w:jc w:val="center"/>
      <w:outlineLvl w:val="1"/>
    </w:pPr>
    <w:rPr>
      <w:rFonts w:eastAsia="Cambria"/>
      <w:b/>
      <w:bCs/>
      <w:noProof/>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1B66"/>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B81B66"/>
    <w:pPr>
      <w:tabs>
        <w:tab w:val="center" w:pos="4536"/>
        <w:tab w:val="right" w:pos="9072"/>
      </w:tabs>
    </w:pPr>
  </w:style>
  <w:style w:type="character" w:customStyle="1" w:styleId="stBilgiChar">
    <w:name w:val="Üst Bilgi Char"/>
    <w:basedOn w:val="VarsaylanParagrafYazTipi"/>
    <w:link w:val="stBilgi"/>
    <w:uiPriority w:val="99"/>
    <w:rsid w:val="00B81B66"/>
    <w:rPr>
      <w:rFonts w:ascii="Arial" w:hAnsi="Arial" w:cs="Arial"/>
      <w:color w:val="000000"/>
      <w:kern w:val="16"/>
      <w:sz w:val="20"/>
      <w:szCs w:val="20"/>
    </w:rPr>
  </w:style>
  <w:style w:type="paragraph" w:styleId="AltBilgi">
    <w:name w:val="footer"/>
    <w:basedOn w:val="Normal"/>
    <w:link w:val="AltBilgiChar"/>
    <w:uiPriority w:val="99"/>
    <w:unhideWhenUsed/>
    <w:rsid w:val="00B81B66"/>
    <w:pPr>
      <w:tabs>
        <w:tab w:val="center" w:pos="4536"/>
        <w:tab w:val="right" w:pos="9072"/>
      </w:tabs>
    </w:pPr>
  </w:style>
  <w:style w:type="character" w:customStyle="1" w:styleId="AltBilgiChar">
    <w:name w:val="Alt Bilgi Char"/>
    <w:basedOn w:val="VarsaylanParagrafYazTipi"/>
    <w:link w:val="AltBilgi"/>
    <w:uiPriority w:val="99"/>
    <w:rsid w:val="00B81B66"/>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234724E-D1F0-45F2-A055-7553E6AF25D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1507</Words>
  <Characters>8591</Characters>
  <Application>Microsoft Office Word</Application>
  <DocSecurity>0</DocSecurity>
  <Lines>71</Lines>
  <Paragraphs>20</Paragraphs>
  <ScaleCrop>false</ScaleCrop>
  <Company>Emeklilik Gozetim Merkezi</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dcterms:created xsi:type="dcterms:W3CDTF">2023-03-30T13:39:00Z</dcterms:created>
  <dcterms:modified xsi:type="dcterms:W3CDTF">2023-03-30T13:48:00Z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fbf84aba-9dab-449a-a947-e9a4a540ea04</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