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8C23A" w14:textId="77777777" w:rsidR="002406A1" w:rsidRPr="001D7EEF" w:rsidRDefault="002406A1" w:rsidP="002406A1">
      <w:pPr>
        <w:widowControl w:val="0"/>
        <w:autoSpaceDE w:val="0"/>
        <w:autoSpaceDN w:val="0"/>
        <w:adjustRightInd w:val="0"/>
        <w:spacing w:after="0" w:line="240" w:lineRule="auto"/>
        <w:ind w:left="170" w:right="170"/>
        <w:rPr>
          <w:b/>
          <w:bCs/>
          <w:sz w:val="20"/>
          <w:u w:val="single"/>
        </w:rPr>
      </w:pPr>
      <w:bookmarkStart w:id="0" w:name="_Toc10203532"/>
      <w:bookmarkStart w:id="1" w:name="_Toc105418698"/>
      <w:r w:rsidRPr="001D7EEF">
        <w:rPr>
          <w:b/>
          <w:bCs/>
          <w:sz w:val="20"/>
          <w:u w:val="single"/>
        </w:rPr>
        <w:t>Resmi Gazete Dışından Kaynak</w:t>
      </w:r>
    </w:p>
    <w:p w14:paraId="4FB00C54" w14:textId="77777777" w:rsidR="002406A1" w:rsidRPr="00E71480" w:rsidRDefault="002406A1" w:rsidP="002406A1">
      <w:pPr>
        <w:widowControl w:val="0"/>
        <w:autoSpaceDE w:val="0"/>
        <w:autoSpaceDN w:val="0"/>
        <w:adjustRightInd w:val="0"/>
        <w:spacing w:after="0" w:line="240" w:lineRule="auto"/>
        <w:ind w:left="170" w:right="170"/>
        <w:rPr>
          <w:b/>
          <w:bCs/>
          <w:sz w:val="20"/>
          <w:u w:val="single"/>
        </w:rPr>
      </w:pPr>
      <w:r w:rsidRPr="001D7EEF">
        <w:rPr>
          <w:b/>
          <w:bCs/>
          <w:sz w:val="20"/>
          <w:u w:val="single"/>
        </w:rPr>
        <w:t xml:space="preserve">Hazine </w:t>
      </w:r>
      <w:r>
        <w:rPr>
          <w:b/>
          <w:bCs/>
          <w:sz w:val="20"/>
          <w:u w:val="single"/>
        </w:rPr>
        <w:t>ve Maliye Bakanlığı</w:t>
      </w:r>
      <w:r w:rsidR="00E71480">
        <w:rPr>
          <w:b/>
          <w:bCs/>
          <w:sz w:val="20"/>
        </w:rPr>
        <w:tab/>
      </w:r>
      <w:r w:rsidR="00E71480">
        <w:rPr>
          <w:b/>
          <w:bCs/>
          <w:sz w:val="20"/>
        </w:rPr>
        <w:tab/>
      </w:r>
      <w:r w:rsidR="00E71480">
        <w:rPr>
          <w:b/>
          <w:bCs/>
          <w:sz w:val="20"/>
        </w:rPr>
        <w:tab/>
      </w:r>
      <w:r w:rsidR="00E71480">
        <w:rPr>
          <w:b/>
          <w:bCs/>
          <w:sz w:val="20"/>
        </w:rPr>
        <w:tab/>
      </w:r>
      <w:r w:rsidR="00E71480">
        <w:rPr>
          <w:b/>
          <w:bCs/>
          <w:sz w:val="20"/>
        </w:rPr>
        <w:tab/>
      </w:r>
      <w:r w:rsidR="00E71480">
        <w:rPr>
          <w:b/>
          <w:bCs/>
          <w:sz w:val="20"/>
        </w:rPr>
        <w:tab/>
      </w:r>
      <w:r w:rsidR="00E71480">
        <w:rPr>
          <w:b/>
          <w:bCs/>
          <w:sz w:val="20"/>
        </w:rPr>
        <w:tab/>
      </w:r>
      <w:r w:rsidR="00E71480">
        <w:rPr>
          <w:b/>
          <w:bCs/>
          <w:sz w:val="20"/>
        </w:rPr>
        <w:tab/>
      </w:r>
      <w:bookmarkStart w:id="2" w:name="_GoBack"/>
      <w:bookmarkEnd w:id="2"/>
      <w:r w:rsidR="00E71480">
        <w:rPr>
          <w:b/>
          <w:bCs/>
          <w:sz w:val="20"/>
          <w:u w:val="single"/>
        </w:rPr>
        <w:t>25.09.2018</w:t>
      </w:r>
    </w:p>
    <w:p w14:paraId="2FD5C3AA" w14:textId="77777777" w:rsidR="008E7DBC" w:rsidRPr="000F1A6A" w:rsidRDefault="008E7DBC" w:rsidP="002406A1">
      <w:pPr>
        <w:widowControl w:val="0"/>
        <w:autoSpaceDE w:val="0"/>
        <w:autoSpaceDN w:val="0"/>
        <w:adjustRightInd w:val="0"/>
        <w:spacing w:after="0" w:line="240" w:lineRule="auto"/>
        <w:ind w:left="170" w:right="170"/>
        <w:rPr>
          <w:b/>
          <w:bCs/>
          <w:sz w:val="20"/>
          <w:u w:val="single"/>
        </w:rPr>
      </w:pPr>
    </w:p>
    <w:p w14:paraId="36C01FBC" w14:textId="77777777" w:rsidR="002406A1" w:rsidRDefault="002406A1" w:rsidP="008E7DBC">
      <w:pPr>
        <w:pStyle w:val="Balk2"/>
        <w:spacing w:before="0" w:after="0"/>
        <w:jc w:val="center"/>
        <w:rPr>
          <w:sz w:val="24"/>
          <w:szCs w:val="24"/>
        </w:rPr>
      </w:pPr>
      <w:r w:rsidRPr="008A60E4">
        <w:rPr>
          <w:sz w:val="24"/>
          <w:szCs w:val="24"/>
        </w:rPr>
        <w:t>SİGORTA ve EMEKLİLİK ŞİRKETLERİNİN TFRS 15’E GEÇİŞ TARİHİNE İLİŞKİN GENELGE (2018/04)</w:t>
      </w:r>
      <w:bookmarkEnd w:id="0"/>
      <w:bookmarkEnd w:id="1"/>
    </w:p>
    <w:p w14:paraId="038E3403" w14:textId="77777777" w:rsidR="008E7DBC" w:rsidRDefault="008E7DBC" w:rsidP="008E7DBC">
      <w:pPr>
        <w:spacing w:after="0"/>
      </w:pPr>
    </w:p>
    <w:p w14:paraId="016DF9DC" w14:textId="77777777" w:rsidR="008E7DBC" w:rsidRPr="008E7DBC" w:rsidRDefault="008E7DBC" w:rsidP="008E7DBC">
      <w:pPr>
        <w:spacing w:after="0"/>
      </w:pPr>
    </w:p>
    <w:p w14:paraId="73172B2F" w14:textId="77777777" w:rsidR="002406A1" w:rsidRPr="008E7DBC" w:rsidRDefault="002406A1" w:rsidP="008E7DBC">
      <w:pPr>
        <w:spacing w:after="0"/>
        <w:ind w:left="170"/>
        <w:rPr>
          <w:rFonts w:eastAsia="ヒラギノ明朝 Pro W3"/>
          <w:sz w:val="20"/>
        </w:rPr>
      </w:pPr>
      <w:r w:rsidRPr="008E7DBC">
        <w:rPr>
          <w:rFonts w:eastAsia="ヒラギノ明朝 Pro W3"/>
          <w:sz w:val="20"/>
        </w:rPr>
        <w:t>Bilindiği üzere Sigortacılık Kanununun 18 inci maddesinin birinci fıkrası “</w:t>
      </w:r>
      <w:r w:rsidRPr="008E7DBC">
        <w:rPr>
          <w:rFonts w:eastAsia="ヒラギノ明朝 Pro W3"/>
          <w:i/>
          <w:sz w:val="20"/>
        </w:rPr>
        <w:t>Sigorta şirketleri ve reasürans şirketleri, hesaplarını ve mali tablolarını, Müsteşarlıkça belirlenecek esaslara ve örneğe uygun olarak düzenlemek, ilan ettirmek ve Müsteşarlığa göndermek zorundadır.</w:t>
      </w:r>
      <w:r w:rsidRPr="008E7DBC">
        <w:rPr>
          <w:rFonts w:eastAsia="ヒラギノ明朝 Pro W3"/>
          <w:sz w:val="20"/>
        </w:rPr>
        <w:t xml:space="preserve"> ” hükmünü amirdir.</w:t>
      </w:r>
    </w:p>
    <w:p w14:paraId="5AE0A81A" w14:textId="77777777" w:rsidR="002406A1" w:rsidRPr="008E7DBC" w:rsidRDefault="002406A1" w:rsidP="008E7DBC">
      <w:pPr>
        <w:spacing w:after="0"/>
        <w:ind w:left="170"/>
        <w:rPr>
          <w:rFonts w:eastAsia="ヒラギノ明朝 Pro W3"/>
          <w:sz w:val="20"/>
        </w:rPr>
      </w:pPr>
      <w:r w:rsidRPr="008E7DBC">
        <w:rPr>
          <w:rFonts w:eastAsia="ヒラギノ明朝 Pro W3"/>
          <w:sz w:val="20"/>
        </w:rPr>
        <w:t>Bakanlığımıza intikal eden başvurulardan; Kamu Gözetimi, Muhasebe ve Denetim Standartları Kurumu (KGK) tarafından hazırlanan, 9 Eylül 2016 Tarihli ve 29826 sayılı Resmi Gazetede yayımlanan “TFRS 15 Müşteri Sözleşmelerinden Hasılat” Standardına uyum kapsamında sigorta ve emeklilik şirketlerinin sistem altyapılarını geliştirmeleri gerektiği, Standart kapsamında ertelemeye konu kayıtların vergi uygulamaları açısından değerlendirilmesi ve ilgili vergi mevzuatında düzenleme yapılması gerektiği ve ilgili Standardın sermaye yeterliliği gibi hususlarda sigorta ve emeklilik şirketlerinin mali yapılarında uyumsuzluğa yol açacağı, bu itibarla Standarda geçişin TFRS 9 ve TFRS 17 ile eşzamanlı olmasının talep edildiği anlaşılmaktadır.</w:t>
      </w:r>
    </w:p>
    <w:p w14:paraId="779DE6C0" w14:textId="77777777" w:rsidR="002406A1" w:rsidRPr="008E7DBC" w:rsidRDefault="002406A1" w:rsidP="008E7DBC">
      <w:pPr>
        <w:spacing w:after="0"/>
        <w:ind w:left="170"/>
        <w:rPr>
          <w:rFonts w:eastAsia="ヒラギノ明朝 Pro W3"/>
          <w:sz w:val="20"/>
        </w:rPr>
      </w:pPr>
      <w:r w:rsidRPr="008E7DBC">
        <w:rPr>
          <w:rFonts w:eastAsia="ヒラギノ明朝 Pro W3"/>
          <w:sz w:val="20"/>
        </w:rPr>
        <w:t>Bakanlığımızca yapılan değerlendirme sonucunda; sigorta sözleşmelerinde sunulan ek hizmetlere ilişkin TFRS 15 ve KGK tarafından yayımlanacak TFRS 17 arasında çakışan hükümlerin olduğu, TFRS 17'ye uyum kapsamında sigorta ve emeklilik şirketlerinin çalışmalara başladığı, TFRS 9 “Finansal Araçlar” Standardına uyum kapsamında sigortacılık sektörüne 01.01.2021 tarihine kadar süre tanınmış olduğu; bu çerçevede, TFRS 15'e uyum kapsamında yapılması gereken yatırımların TFRS 17 ve TFRS 9 ile birlikte eşzamanlı yapılmasının etkinliği arttıracağı ve uygulamada ortaya çıkabilecek önemli aksaklıkların önüne geçilmesini sağlayacağı anlaşılmıştır.</w:t>
      </w:r>
    </w:p>
    <w:p w14:paraId="7FAA56DF" w14:textId="77777777" w:rsidR="002406A1" w:rsidRPr="008E7DBC" w:rsidRDefault="002406A1" w:rsidP="008E7DBC">
      <w:pPr>
        <w:spacing w:after="0"/>
        <w:ind w:left="170"/>
        <w:rPr>
          <w:rFonts w:eastAsia="ヒラギノ明朝 Pro W3"/>
          <w:sz w:val="20"/>
        </w:rPr>
      </w:pPr>
      <w:r w:rsidRPr="008E7DBC">
        <w:rPr>
          <w:rFonts w:eastAsia="ヒラギノ明朝 Pro W3"/>
          <w:sz w:val="20"/>
        </w:rPr>
        <w:t>Bu itibarla, sigorta ve reasürans ile emeklilik şirketlerinin TFRS 15 kapsamında ertelenmesi gereken gelirleri ile giderleri bakımından söz konusu standarda geçiş tarihlerinin TFRS 17 ve TFRS 9 standardına geçiş ile eşzamanlı olarak gerçekleştirilmesi uygun görülmüştür.</w:t>
      </w:r>
    </w:p>
    <w:p w14:paraId="44D3A46B" w14:textId="77777777" w:rsidR="002406A1" w:rsidRPr="008E7DBC" w:rsidRDefault="002406A1" w:rsidP="008E7DBC">
      <w:pPr>
        <w:spacing w:after="0"/>
        <w:ind w:left="170"/>
        <w:rPr>
          <w:rFonts w:eastAsia="ヒラギノ明朝 Pro W3"/>
          <w:sz w:val="20"/>
        </w:rPr>
      </w:pPr>
      <w:r w:rsidRPr="008E7DBC">
        <w:rPr>
          <w:rFonts w:eastAsia="ヒラギノ明朝 Pro W3"/>
          <w:sz w:val="20"/>
        </w:rPr>
        <w:t>Bu genelge yayımı tarihinde yürürlüğe girer.</w:t>
      </w:r>
    </w:p>
    <w:p w14:paraId="06577D02" w14:textId="77777777" w:rsidR="002406A1" w:rsidRDefault="002406A1" w:rsidP="002406A1">
      <w:pPr>
        <w:rPr>
          <w:color w:val="FF0000"/>
          <w:szCs w:val="22"/>
          <w:u w:val="single"/>
        </w:rPr>
      </w:pPr>
    </w:p>
    <w:tbl>
      <w:tblPr>
        <w:tblStyle w:val="TabloKlavuzu"/>
        <w:tblW w:w="0" w:type="auto"/>
        <w:tblInd w:w="0" w:type="dxa"/>
        <w:tblLook w:val="04A0" w:firstRow="1" w:lastRow="0" w:firstColumn="1" w:lastColumn="0" w:noHBand="0" w:noVBand="1"/>
      </w:tblPr>
      <w:tblGrid>
        <w:gridCol w:w="3016"/>
        <w:gridCol w:w="3020"/>
        <w:gridCol w:w="3020"/>
      </w:tblGrid>
      <w:tr w:rsidR="002406A1" w:rsidRPr="001D7EEF" w14:paraId="3209DE97" w14:textId="77777777" w:rsidTr="003C7DDD">
        <w:tc>
          <w:tcPr>
            <w:tcW w:w="9224" w:type="dxa"/>
            <w:gridSpan w:val="3"/>
          </w:tcPr>
          <w:p w14:paraId="65636AEC" w14:textId="77777777" w:rsidR="002406A1" w:rsidRPr="004F5BB9" w:rsidRDefault="002406A1" w:rsidP="003C7DDD">
            <w:pPr>
              <w:jc w:val="center"/>
              <w:rPr>
                <w:b/>
                <w:sz w:val="20"/>
              </w:rPr>
            </w:pPr>
            <w:r w:rsidRPr="004F5BB9">
              <w:rPr>
                <w:b/>
                <w:sz w:val="20"/>
              </w:rPr>
              <w:t>Genelge’nin</w:t>
            </w:r>
          </w:p>
        </w:tc>
      </w:tr>
      <w:tr w:rsidR="002406A1" w:rsidRPr="001D7EEF" w14:paraId="722E8D24" w14:textId="77777777" w:rsidTr="003C7DDD">
        <w:tc>
          <w:tcPr>
            <w:tcW w:w="3074" w:type="dxa"/>
          </w:tcPr>
          <w:p w14:paraId="3FAD0E30" w14:textId="77777777" w:rsidR="002406A1" w:rsidRPr="004F5BB9" w:rsidRDefault="002406A1" w:rsidP="003C7DDD">
            <w:pPr>
              <w:jc w:val="center"/>
              <w:rPr>
                <w:b/>
                <w:sz w:val="20"/>
              </w:rPr>
            </w:pPr>
            <w:r w:rsidRPr="004F5BB9">
              <w:rPr>
                <w:b/>
                <w:sz w:val="20"/>
              </w:rPr>
              <w:t>Numarası</w:t>
            </w:r>
          </w:p>
        </w:tc>
        <w:tc>
          <w:tcPr>
            <w:tcW w:w="3075" w:type="dxa"/>
          </w:tcPr>
          <w:p w14:paraId="6D061E47" w14:textId="77777777" w:rsidR="002406A1" w:rsidRPr="004F5BB9" w:rsidRDefault="002406A1" w:rsidP="003C7DDD">
            <w:pPr>
              <w:jc w:val="center"/>
              <w:rPr>
                <w:b/>
                <w:sz w:val="20"/>
              </w:rPr>
            </w:pPr>
            <w:r w:rsidRPr="004F5BB9">
              <w:rPr>
                <w:b/>
                <w:sz w:val="20"/>
              </w:rPr>
              <w:t>Kabul Tarihi</w:t>
            </w:r>
          </w:p>
        </w:tc>
        <w:tc>
          <w:tcPr>
            <w:tcW w:w="3075" w:type="dxa"/>
          </w:tcPr>
          <w:p w14:paraId="1EC477A4" w14:textId="77777777" w:rsidR="002406A1" w:rsidRPr="004F5BB9" w:rsidRDefault="002406A1" w:rsidP="003C7DDD">
            <w:pPr>
              <w:jc w:val="center"/>
              <w:rPr>
                <w:b/>
                <w:sz w:val="20"/>
              </w:rPr>
            </w:pPr>
            <w:r w:rsidRPr="004F5BB9">
              <w:rPr>
                <w:b/>
                <w:sz w:val="20"/>
              </w:rPr>
              <w:t>Yürürlüğe Giriş Tarihi</w:t>
            </w:r>
          </w:p>
        </w:tc>
      </w:tr>
      <w:tr w:rsidR="002406A1" w14:paraId="58EC5464" w14:textId="77777777" w:rsidTr="003C7DDD">
        <w:tc>
          <w:tcPr>
            <w:tcW w:w="3074" w:type="dxa"/>
          </w:tcPr>
          <w:p w14:paraId="7EE9919D" w14:textId="77777777" w:rsidR="002406A1" w:rsidRPr="004F5BB9" w:rsidRDefault="002406A1" w:rsidP="003C7DDD">
            <w:pPr>
              <w:jc w:val="center"/>
              <w:rPr>
                <w:sz w:val="20"/>
              </w:rPr>
            </w:pPr>
            <w:r w:rsidRPr="004F5BB9">
              <w:rPr>
                <w:sz w:val="20"/>
              </w:rPr>
              <w:t>2018/04</w:t>
            </w:r>
          </w:p>
        </w:tc>
        <w:tc>
          <w:tcPr>
            <w:tcW w:w="3075" w:type="dxa"/>
          </w:tcPr>
          <w:p w14:paraId="618437D5" w14:textId="77777777" w:rsidR="002406A1" w:rsidRPr="004F5BB9" w:rsidRDefault="002406A1" w:rsidP="003C7DDD">
            <w:pPr>
              <w:jc w:val="center"/>
              <w:rPr>
                <w:sz w:val="20"/>
              </w:rPr>
            </w:pPr>
            <w:r w:rsidRPr="004F5BB9">
              <w:rPr>
                <w:sz w:val="20"/>
              </w:rPr>
              <w:t>25.09.2018</w:t>
            </w:r>
          </w:p>
        </w:tc>
        <w:tc>
          <w:tcPr>
            <w:tcW w:w="3075" w:type="dxa"/>
          </w:tcPr>
          <w:p w14:paraId="285ED3B3" w14:textId="77777777" w:rsidR="002406A1" w:rsidRPr="004F5BB9" w:rsidRDefault="002406A1" w:rsidP="003C7DDD">
            <w:pPr>
              <w:jc w:val="center"/>
              <w:rPr>
                <w:sz w:val="20"/>
              </w:rPr>
            </w:pPr>
            <w:r w:rsidRPr="004F5BB9">
              <w:rPr>
                <w:sz w:val="20"/>
              </w:rPr>
              <w:t>25.09.2018</w:t>
            </w:r>
          </w:p>
        </w:tc>
      </w:tr>
    </w:tbl>
    <w:p w14:paraId="7D6E5C69" w14:textId="77777777" w:rsidR="002406A1" w:rsidRDefault="002406A1" w:rsidP="002406A1"/>
    <w:p w14:paraId="0DDC316B" w14:textId="77777777" w:rsidR="008B0A8E" w:rsidRDefault="008B0A8E"/>
    <w:sectPr w:rsidR="008B0A8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34891B" w14:textId="77777777" w:rsidR="00944585" w:rsidRDefault="00944585" w:rsidP="002406A1">
      <w:pPr>
        <w:spacing w:after="0" w:line="240" w:lineRule="auto"/>
      </w:pPr>
      <w:r>
        <w:separator/>
      </w:r>
    </w:p>
  </w:endnote>
  <w:endnote w:type="continuationSeparator" w:id="0">
    <w:p w14:paraId="006D6765" w14:textId="77777777" w:rsidR="00944585" w:rsidRDefault="00944585" w:rsidP="00240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ED6FF" w14:textId="0617D027" w:rsidR="002406A1" w:rsidRPr="00E71480" w:rsidRDefault="00E71480" w:rsidP="00E71480">
    <w:pPr>
      <w:pStyle w:val="AltBilgi"/>
    </w:pPr>
    <w:r>
      <w:rPr>
        <w:rStyle w:val="document-info-data"/>
        <w:sz w:val="20"/>
      </w:rPr>
      <w:fldChar w:fldCharType="begin" w:fldLock="1"/>
    </w:r>
    <w:r>
      <w:rPr>
        <w:rStyle w:val="document-info-data"/>
        <w:sz w:val="20"/>
      </w:rPr>
      <w:instrText xml:space="preserve"> DOCPROPERTY bjFooterEvenPageDocProperty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54A10" w14:textId="017BE1ED" w:rsidR="002406A1" w:rsidRPr="00E71480" w:rsidRDefault="00E71480" w:rsidP="00E71480">
    <w:pPr>
      <w:pStyle w:val="AltBilgi"/>
    </w:pPr>
    <w:r>
      <w:rPr>
        <w:rStyle w:val="document-info-data"/>
        <w:sz w:val="20"/>
      </w:rPr>
      <w:fldChar w:fldCharType="begin" w:fldLock="1"/>
    </w:r>
    <w:r>
      <w:rPr>
        <w:rStyle w:val="document-info-data"/>
        <w:sz w:val="20"/>
      </w:rPr>
      <w:instrText xml:space="preserve"> DOCPROPERTY bjFooterBothDocProperty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F5AF5" w14:textId="22B89700" w:rsidR="002406A1" w:rsidRPr="00E71480" w:rsidRDefault="00E71480" w:rsidP="00E71480">
    <w:pPr>
      <w:pStyle w:val="AltBilgi"/>
    </w:pPr>
    <w:r>
      <w:rPr>
        <w:rStyle w:val="document-info-data"/>
        <w:sz w:val="20"/>
      </w:rPr>
      <w:fldChar w:fldCharType="begin" w:fldLock="1"/>
    </w:r>
    <w:r>
      <w:rPr>
        <w:rStyle w:val="document-info-data"/>
        <w:sz w:val="20"/>
      </w:rPr>
      <w:instrText xml:space="preserve"> DOCPROPERTY bjFooterFirstPageDocProperty \* MERGEFORMAT </w:instrText>
    </w:r>
    <w:r>
      <w:rPr>
        <w:rStyle w:val="document-info-data"/>
        <w:sz w:val="20"/>
      </w:rPr>
      <w:fldChar w:fldCharType="separate"/>
    </w:r>
    <w:r w:rsidRPr="008801F2">
      <w:rPr>
        <w:rStyle w:val="document-info-data"/>
        <w:rFonts w:ascii="Malgun Gothic" w:eastAsia="Malgun Gothic" w:hAnsi="Malgun Gothic"/>
        <w:color w:val="999999"/>
        <w:sz w:val="20"/>
      </w:rPr>
      <w:t>Sınıflandırma|</w:t>
    </w:r>
    <w:r w:rsidRPr="008801F2">
      <w:rPr>
        <w:rStyle w:val="document-info-data"/>
        <w:rFonts w:ascii="Malgun Gothic" w:eastAsia="Malgun Gothic" w:hAnsi="Malgun Gothic"/>
        <w:color w:val="339966"/>
        <w:sz w:val="20"/>
      </w:rPr>
      <w:t>Genel</w:t>
    </w:r>
    <w:r>
      <w:rPr>
        <w:rStyle w:val="document-info-dat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51AF6" w14:textId="77777777" w:rsidR="00944585" w:rsidRDefault="00944585" w:rsidP="002406A1">
      <w:pPr>
        <w:spacing w:after="0" w:line="240" w:lineRule="auto"/>
      </w:pPr>
      <w:r>
        <w:separator/>
      </w:r>
    </w:p>
  </w:footnote>
  <w:footnote w:type="continuationSeparator" w:id="0">
    <w:p w14:paraId="7C55D792" w14:textId="77777777" w:rsidR="00944585" w:rsidRDefault="00944585" w:rsidP="002406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6CAF" w14:textId="77777777" w:rsidR="002406A1" w:rsidRDefault="002406A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326DE" w14:textId="77777777" w:rsidR="002406A1" w:rsidRDefault="002406A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7E8F0" w14:textId="77777777" w:rsidR="002406A1" w:rsidRDefault="002406A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76"/>
    <w:rsid w:val="000476CA"/>
    <w:rsid w:val="002406A1"/>
    <w:rsid w:val="006E7876"/>
    <w:rsid w:val="008B0A8E"/>
    <w:rsid w:val="008E7DBC"/>
    <w:rsid w:val="00944585"/>
    <w:rsid w:val="00E71480"/>
    <w:rsid w:val="00E853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CD4A8"/>
  <w15:chartTrackingRefBased/>
  <w15:docId w15:val="{E058165B-4693-4DCA-A229-25C7E9A04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6A1"/>
    <w:pPr>
      <w:spacing w:after="180" w:line="276" w:lineRule="auto"/>
    </w:pPr>
    <w:rPr>
      <w:rFonts w:ascii="Arial" w:eastAsia="Times New Roman" w:hAnsi="Arial" w:cs="Arial"/>
      <w:szCs w:val="20"/>
      <w:lang w:eastAsia="tr-TR"/>
    </w:rPr>
  </w:style>
  <w:style w:type="paragraph" w:styleId="Balk2">
    <w:name w:val="heading 2"/>
    <w:basedOn w:val="Normal"/>
    <w:next w:val="Normal"/>
    <w:link w:val="Balk2Char"/>
    <w:uiPriority w:val="9"/>
    <w:qFormat/>
    <w:rsid w:val="002406A1"/>
    <w:pPr>
      <w:keepLines/>
      <w:spacing w:before="280" w:after="280"/>
      <w:outlineLvl w:val="1"/>
    </w:pPr>
    <w:rPr>
      <w:b/>
      <w:sz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406A1"/>
    <w:rPr>
      <w:rFonts w:ascii="Arial" w:eastAsia="Times New Roman" w:hAnsi="Arial" w:cs="Arial"/>
      <w:b/>
      <w:sz w:val="36"/>
      <w:szCs w:val="20"/>
      <w:lang w:eastAsia="tr-TR"/>
    </w:rPr>
  </w:style>
  <w:style w:type="table" w:styleId="TabloKlavuzu">
    <w:name w:val="Table Grid"/>
    <w:basedOn w:val="NormalTablo"/>
    <w:uiPriority w:val="39"/>
    <w:rsid w:val="002406A1"/>
    <w:pPr>
      <w:spacing w:after="0" w:line="240" w:lineRule="auto"/>
    </w:pPr>
    <w:rPr>
      <w:rFonts w:ascii="Arial" w:eastAsia="Times New Roman" w:hAnsi="Arial" w:cs="Arial"/>
      <w:szCs w:val="20"/>
      <w:lang w:eastAsia="tr-TR"/>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tBilgi">
    <w:name w:val="header"/>
    <w:basedOn w:val="Normal"/>
    <w:link w:val="stBilgiChar"/>
    <w:uiPriority w:val="99"/>
    <w:unhideWhenUsed/>
    <w:rsid w:val="002406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06A1"/>
    <w:rPr>
      <w:rFonts w:ascii="Arial" w:eastAsia="Times New Roman" w:hAnsi="Arial" w:cs="Arial"/>
      <w:szCs w:val="20"/>
      <w:lang w:eastAsia="tr-TR"/>
    </w:rPr>
  </w:style>
  <w:style w:type="paragraph" w:styleId="AltBilgi">
    <w:name w:val="footer"/>
    <w:basedOn w:val="Normal"/>
    <w:link w:val="AltBilgiChar"/>
    <w:uiPriority w:val="99"/>
    <w:unhideWhenUsed/>
    <w:rsid w:val="002406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06A1"/>
    <w:rPr>
      <w:rFonts w:ascii="Arial" w:eastAsia="Times New Roman" w:hAnsi="Arial" w:cs="Arial"/>
      <w:szCs w:val="20"/>
      <w:lang w:eastAsia="tr-TR"/>
    </w:rPr>
  </w:style>
  <w:style w:type="character" w:customStyle="1" w:styleId="document-info-data">
    <w:name w:val="document-info-data"/>
    <w:rsid w:val="00E71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9DFA88DD-BC6F-46CC-84F6-A10CD3C5935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334</Words>
  <Characters>1905</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6</cp:revision>
  <cp:lastPrinted>2023-08-08T13:27:00Z</cp:lastPrinted>
  <dcterms:created xsi:type="dcterms:W3CDTF">2022-12-15T10:15:00Z</dcterms:created>
  <dcterms:modified xsi:type="dcterms:W3CDTF">2023-08-08T13:27:00Z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c65f1ca8-da39-4a2c-8d9c-fc81eace1196</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