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44AF8" w14:textId="77777777" w:rsidR="00AB6D82" w:rsidRPr="002B1DFC" w:rsidRDefault="00AB6D82" w:rsidP="00AB6D82">
      <w:pPr>
        <w:widowControl w:val="0"/>
        <w:autoSpaceDE w:val="0"/>
        <w:autoSpaceDN w:val="0"/>
        <w:adjustRightInd w:val="0"/>
        <w:ind w:right="170"/>
        <w:rPr>
          <w:b/>
          <w:bCs/>
          <w:u w:val="single"/>
        </w:rPr>
      </w:pPr>
      <w:r w:rsidRPr="002B1DFC">
        <w:rPr>
          <w:b/>
          <w:bCs/>
          <w:u w:val="single"/>
        </w:rPr>
        <w:t>Resmi Gazete Dışından Kaynak</w:t>
      </w:r>
    </w:p>
    <w:p w14:paraId="636CBCDF" w14:textId="77777777" w:rsidR="00AB6D82" w:rsidRPr="009F549F" w:rsidRDefault="00AB6D82" w:rsidP="00AB6D82">
      <w:pPr>
        <w:widowControl w:val="0"/>
        <w:autoSpaceDE w:val="0"/>
        <w:autoSpaceDN w:val="0"/>
        <w:adjustRightInd w:val="0"/>
        <w:ind w:right="170"/>
        <w:rPr>
          <w:b/>
          <w:bCs/>
          <w:u w:val="single"/>
        </w:rPr>
      </w:pPr>
      <w:r w:rsidRPr="002B1DFC">
        <w:rPr>
          <w:b/>
          <w:u w:val="single"/>
          <w:shd w:val="clear" w:color="auto" w:fill="FFFFFF"/>
        </w:rPr>
        <w:t>Sigortacılık ve Özel Emeklilik Düzenleme ve Denetleme Kurumundan</w:t>
      </w:r>
      <w:r w:rsidR="009F549F">
        <w:rPr>
          <w:b/>
          <w:shd w:val="clear" w:color="auto" w:fill="FFFFFF"/>
        </w:rPr>
        <w:tab/>
      </w:r>
      <w:r w:rsidR="009F549F">
        <w:rPr>
          <w:b/>
          <w:shd w:val="clear" w:color="auto" w:fill="FFFFFF"/>
        </w:rPr>
        <w:tab/>
      </w:r>
      <w:r w:rsidR="009F549F">
        <w:rPr>
          <w:b/>
          <w:u w:val="single"/>
          <w:shd w:val="clear" w:color="auto" w:fill="FFFFFF"/>
        </w:rPr>
        <w:t>04.01.2023</w:t>
      </w:r>
      <w:bookmarkStart w:id="0" w:name="_GoBack"/>
      <w:bookmarkEnd w:id="0"/>
    </w:p>
    <w:p w14:paraId="5D969A5D" w14:textId="77777777" w:rsidR="00AB6D82" w:rsidRPr="00E70E64" w:rsidRDefault="00AB6D82" w:rsidP="00AB6D82">
      <w:pPr>
        <w:spacing w:before="151" w:line="276" w:lineRule="auto"/>
        <w:ind w:left="1376" w:right="1446"/>
        <w:jc w:val="center"/>
        <w:rPr>
          <w:b/>
          <w:sz w:val="24"/>
          <w:szCs w:val="24"/>
        </w:rPr>
      </w:pPr>
      <w:r w:rsidRPr="00E70E64">
        <w:rPr>
          <w:b/>
          <w:color w:val="1C1C1C"/>
          <w:spacing w:val="-2"/>
          <w:w w:val="105"/>
          <w:sz w:val="24"/>
          <w:szCs w:val="24"/>
        </w:rPr>
        <w:t>SİGORTA, REASÜRANS VE</w:t>
      </w:r>
      <w:r w:rsidRPr="00E70E64">
        <w:rPr>
          <w:b/>
          <w:color w:val="1C1C1C"/>
          <w:spacing w:val="-14"/>
          <w:w w:val="105"/>
          <w:sz w:val="24"/>
          <w:szCs w:val="24"/>
        </w:rPr>
        <w:t xml:space="preserve"> </w:t>
      </w:r>
      <w:r w:rsidRPr="00E70E64">
        <w:rPr>
          <w:b/>
          <w:color w:val="1C1C1C"/>
          <w:spacing w:val="-2"/>
          <w:w w:val="105"/>
          <w:sz w:val="24"/>
          <w:szCs w:val="24"/>
        </w:rPr>
        <w:t xml:space="preserve">EMEKLİLİK ŞİRKETLERİNİN </w:t>
      </w:r>
      <w:r w:rsidRPr="00E70E64">
        <w:rPr>
          <w:b/>
          <w:color w:val="1C1C1C"/>
          <w:w w:val="105"/>
          <w:sz w:val="24"/>
          <w:szCs w:val="24"/>
        </w:rPr>
        <w:t xml:space="preserve">KAR DAĞITIMINA İLİŞKİN GENELGE </w:t>
      </w:r>
      <w:r w:rsidRPr="00E70E64">
        <w:rPr>
          <w:b/>
          <w:color w:val="1C1C1C"/>
          <w:spacing w:val="-2"/>
          <w:w w:val="105"/>
          <w:sz w:val="24"/>
          <w:szCs w:val="24"/>
        </w:rPr>
        <w:t>(2023/2)</w:t>
      </w:r>
    </w:p>
    <w:p w14:paraId="75ACDC71" w14:textId="77777777" w:rsidR="00AB6D82" w:rsidRPr="00E70E64" w:rsidRDefault="00AB6D82" w:rsidP="00AB6D82">
      <w:pPr>
        <w:pStyle w:val="GvdeMetni"/>
        <w:spacing w:line="276" w:lineRule="auto"/>
        <w:rPr>
          <w:rFonts w:ascii="Arial" w:hAnsi="Arial" w:cs="Arial"/>
          <w:b/>
          <w:sz w:val="20"/>
        </w:rPr>
      </w:pPr>
    </w:p>
    <w:p w14:paraId="0391C228" w14:textId="77777777" w:rsidR="00AB6D82" w:rsidRPr="00E70E64" w:rsidRDefault="00AB6D82" w:rsidP="00AB6D82">
      <w:pPr>
        <w:pStyle w:val="GvdeMetni"/>
        <w:spacing w:before="4" w:line="276" w:lineRule="auto"/>
        <w:rPr>
          <w:rFonts w:ascii="Arial" w:hAnsi="Arial" w:cs="Arial"/>
          <w:b/>
          <w:sz w:val="20"/>
        </w:rPr>
      </w:pPr>
    </w:p>
    <w:p w14:paraId="09D2299D" w14:textId="77777777" w:rsidR="00AB6D82" w:rsidRPr="00E70E64" w:rsidRDefault="00AB6D82" w:rsidP="00AB6D82">
      <w:pPr>
        <w:spacing w:line="276" w:lineRule="auto"/>
        <w:ind w:left="170" w:right="170"/>
      </w:pPr>
      <w:r w:rsidRPr="00E70E64">
        <w:t>Bilindiği üzere, 5684 sayılı Sigortacılık Kanununun 18 inci maddesinin dördüncü fıkrası "</w:t>
      </w:r>
      <w:r w:rsidRPr="00E70E64">
        <w:rPr>
          <w:i/>
        </w:rPr>
        <w:t>Müsteşarlık, sigorta şirketleri ile reasürans şirketlerinden, diğer kanunların zorunlu kıldığı defterlerden başka, özel defterler tutmalarını talep etmeye ve bu defterlerin tabi olacağı esas ve usulleri tespite, belirleyeceği esaslar ve örneklere uygun olarak her türlü bilgi, cetvel, rapor, hesap özetleri ve mali tablolar istemeye, gerekli gördüğü takdirde mali tabloları ilan ettirmeye, sigortacılık sektörünün mali yapısının güçlendirilmesi için finansal oranlar tespit etmeye, şirket kaynaklarının hangi aktiflere ve ne oranda yatırılacağını belirlemeye yetkilidir.</w:t>
      </w:r>
      <w:r w:rsidRPr="00E70E64">
        <w:t xml:space="preserve"> " hükmünü, Sigorta ve Reasürans ile Emeklilik Şirketlerinin Sermaye Yeterliliklerinin Ölçülmesine ve Değerlendirilmesine İlişkin Yönetmeliğin 9 uncu maddesinin yedinci fıkrası ise "</w:t>
      </w:r>
      <w:r w:rsidRPr="00E70E64">
        <w:rPr>
          <w:i/>
        </w:rPr>
        <w:t>Şirket, özsermayenin gerekli özsermayenin altına düşmesi ile sonuçlanacak şekilde kar dağıtımı yapamaz.</w:t>
      </w:r>
      <w:r w:rsidRPr="00E70E64">
        <w:t xml:space="preserve"> " hükmünü amirdir. Diğer taraftan aynı yönetmelikte, sermaye yeterliliği oranının %115'in altına düşmesi öz değerlendirme aşaması olarak değerlendirilmiştir.</w:t>
      </w:r>
    </w:p>
    <w:p w14:paraId="5E931E89" w14:textId="77777777" w:rsidR="00AB6D82" w:rsidRDefault="00AB6D82" w:rsidP="00AB6D82">
      <w:pPr>
        <w:spacing w:line="276" w:lineRule="auto"/>
        <w:ind w:left="170" w:right="170"/>
      </w:pPr>
      <w:r w:rsidRPr="00E70E64">
        <w:t>Bu itibarla, ortaya çıkabilecek ilave sermaye ihtiyaçlarına hazırlık kapsamında şirketlerin likiditelerinin artırılması ve mali bünyelerinin daha da güçlendirilmesini teminen, hisseleri borsada işlem gören şirketlerin tabi olduğu diğer mevzuat hükümleri saklı olmak kaydıyla, bu Genelgenin yayımı tarihinden itibaren sigorta, reasürans ve emeklilik şirketlerinin finansal tablo sonuçları üzerinden (geçmiş yıllar karları ve dağıtılabilir yedekler dahil) yapılacak kar dağıtımlarının, sermaye yeterliliği seviyesini % 135'inin altına düşürmeyecek seviyede sınırlandırılmasına ve her halükarda kar dağıtımı için Kurumdan onay alınmasına karar verilmiştir.</w:t>
      </w:r>
    </w:p>
    <w:p w14:paraId="4D0757F1" w14:textId="77777777" w:rsidR="00AB6D82" w:rsidRDefault="00AB6D82" w:rsidP="00AB6D82">
      <w:pPr>
        <w:spacing w:line="276" w:lineRule="auto"/>
        <w:ind w:left="170" w:right="170"/>
      </w:pPr>
    </w:p>
    <w:tbl>
      <w:tblPr>
        <w:tblStyle w:val="TabloKlavuzu"/>
        <w:tblW w:w="0" w:type="auto"/>
        <w:tblInd w:w="0" w:type="dxa"/>
        <w:tblLook w:val="04A0" w:firstRow="1" w:lastRow="0" w:firstColumn="1" w:lastColumn="0" w:noHBand="0" w:noVBand="1"/>
      </w:tblPr>
      <w:tblGrid>
        <w:gridCol w:w="3018"/>
        <w:gridCol w:w="3022"/>
        <w:gridCol w:w="3022"/>
      </w:tblGrid>
      <w:tr w:rsidR="00AB6D82" w:rsidRPr="001D7EEF" w14:paraId="11C41E87" w14:textId="77777777" w:rsidTr="00D33B70">
        <w:tc>
          <w:tcPr>
            <w:tcW w:w="9224" w:type="dxa"/>
            <w:gridSpan w:val="3"/>
          </w:tcPr>
          <w:p w14:paraId="2DC5A127" w14:textId="77777777" w:rsidR="00AB6D82" w:rsidRPr="002B1DFC" w:rsidRDefault="00AB6D82" w:rsidP="00D33B70">
            <w:pPr>
              <w:jc w:val="center"/>
              <w:rPr>
                <w:b/>
              </w:rPr>
            </w:pPr>
            <w:r w:rsidRPr="002B1DFC">
              <w:rPr>
                <w:b/>
              </w:rPr>
              <w:t>Genelge’nin</w:t>
            </w:r>
          </w:p>
        </w:tc>
      </w:tr>
      <w:tr w:rsidR="00AB6D82" w:rsidRPr="001D7EEF" w14:paraId="6F6F6826" w14:textId="77777777" w:rsidTr="00D33B70">
        <w:tc>
          <w:tcPr>
            <w:tcW w:w="3074" w:type="dxa"/>
          </w:tcPr>
          <w:p w14:paraId="2BD3CDDA" w14:textId="77777777" w:rsidR="00AB6D82" w:rsidRPr="002B1DFC" w:rsidRDefault="00AB6D82" w:rsidP="00D33B70">
            <w:pPr>
              <w:jc w:val="center"/>
              <w:rPr>
                <w:b/>
              </w:rPr>
            </w:pPr>
            <w:r w:rsidRPr="002B1DFC">
              <w:rPr>
                <w:b/>
              </w:rPr>
              <w:t>Numarası</w:t>
            </w:r>
          </w:p>
        </w:tc>
        <w:tc>
          <w:tcPr>
            <w:tcW w:w="3075" w:type="dxa"/>
          </w:tcPr>
          <w:p w14:paraId="778CEF7F" w14:textId="77777777" w:rsidR="00AB6D82" w:rsidRPr="002B1DFC" w:rsidRDefault="00AB6D82" w:rsidP="00D33B70">
            <w:pPr>
              <w:jc w:val="center"/>
              <w:rPr>
                <w:b/>
              </w:rPr>
            </w:pPr>
            <w:r w:rsidRPr="002B1DFC">
              <w:rPr>
                <w:b/>
              </w:rPr>
              <w:t>Kabul Tarihi</w:t>
            </w:r>
          </w:p>
        </w:tc>
        <w:tc>
          <w:tcPr>
            <w:tcW w:w="3075" w:type="dxa"/>
          </w:tcPr>
          <w:p w14:paraId="74CCCA07" w14:textId="77777777" w:rsidR="00AB6D82" w:rsidRPr="002B1DFC" w:rsidRDefault="00AB6D82" w:rsidP="00D33B70">
            <w:pPr>
              <w:jc w:val="center"/>
              <w:rPr>
                <w:b/>
              </w:rPr>
            </w:pPr>
            <w:r w:rsidRPr="002B1DFC">
              <w:rPr>
                <w:b/>
              </w:rPr>
              <w:t>Yürürlüğe Giriş Tarihi</w:t>
            </w:r>
          </w:p>
        </w:tc>
      </w:tr>
      <w:tr w:rsidR="00AB6D82" w14:paraId="39854341" w14:textId="77777777" w:rsidTr="00D33B70">
        <w:tc>
          <w:tcPr>
            <w:tcW w:w="3074" w:type="dxa"/>
          </w:tcPr>
          <w:p w14:paraId="1FFB7284" w14:textId="77777777" w:rsidR="00AB6D82" w:rsidRPr="002B1DFC" w:rsidRDefault="00AB6D82" w:rsidP="00D33B70">
            <w:pPr>
              <w:jc w:val="center"/>
            </w:pPr>
            <w:r>
              <w:t>2023/2</w:t>
            </w:r>
          </w:p>
        </w:tc>
        <w:tc>
          <w:tcPr>
            <w:tcW w:w="3075" w:type="dxa"/>
          </w:tcPr>
          <w:p w14:paraId="0C64FD69" w14:textId="77777777" w:rsidR="00AB6D82" w:rsidRPr="002B1DFC" w:rsidRDefault="00AB6D82" w:rsidP="00D33B70">
            <w:pPr>
              <w:jc w:val="center"/>
            </w:pPr>
            <w:r>
              <w:t>04.01.2023</w:t>
            </w:r>
          </w:p>
        </w:tc>
        <w:tc>
          <w:tcPr>
            <w:tcW w:w="3075" w:type="dxa"/>
          </w:tcPr>
          <w:p w14:paraId="195A5540" w14:textId="77777777" w:rsidR="00AB6D82" w:rsidRPr="002B1DFC" w:rsidRDefault="00AB6D82" w:rsidP="00D33B70">
            <w:pPr>
              <w:jc w:val="center"/>
            </w:pPr>
            <w:r>
              <w:t>04.01.2023</w:t>
            </w:r>
          </w:p>
        </w:tc>
      </w:tr>
    </w:tbl>
    <w:p w14:paraId="4871E7A2" w14:textId="77777777" w:rsidR="00AB6D82" w:rsidRPr="00E70E64" w:rsidRDefault="00AB6D82" w:rsidP="00AB6D82">
      <w:pPr>
        <w:spacing w:line="276" w:lineRule="auto"/>
        <w:ind w:left="170" w:right="170"/>
      </w:pPr>
    </w:p>
    <w:p w14:paraId="54D01595" w14:textId="77777777" w:rsidR="00F21777" w:rsidRDefault="00F21777"/>
    <w:sectPr w:rsidR="00F217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6E1E" w14:textId="77777777" w:rsidR="00934EF8" w:rsidRDefault="00934EF8" w:rsidP="009F549F">
      <w:r>
        <w:separator/>
      </w:r>
    </w:p>
  </w:endnote>
  <w:endnote w:type="continuationSeparator" w:id="0">
    <w:p w14:paraId="7A8386BE" w14:textId="77777777" w:rsidR="00934EF8" w:rsidRDefault="00934EF8" w:rsidP="009F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AACA" w14:textId="4EFDECFE" w:rsidR="009F549F" w:rsidRPr="009F549F" w:rsidRDefault="009F549F" w:rsidP="009F549F">
    <w:pPr>
      <w:pStyle w:val="AltBilgi"/>
      <w:jc w:val="left"/>
    </w:pPr>
    <w:r>
      <w:rPr>
        <w:rStyle w:val="document-info-data"/>
      </w:rPr>
      <w:fldChar w:fldCharType="begin" w:fldLock="1"/>
    </w:r>
    <w:r>
      <w:rPr>
        <w:rStyle w:val="document-info-data"/>
      </w:rPr>
      <w:instrText xml:space="preserve"> DOCPROPERTY bjFooterEvenPageDocProperty \* MERGEFORMAT </w:instrText>
    </w:r>
    <w:r>
      <w:rPr>
        <w:rStyle w:val="document-info-data"/>
      </w:rPr>
      <w:fldChar w:fldCharType="separate"/>
    </w:r>
    <w:r w:rsidRPr="008801F2">
      <w:rPr>
        <w:rStyle w:val="document-info-data"/>
        <w:rFonts w:ascii="Malgun Gothic" w:eastAsia="Malgun Gothic" w:hAnsi="Malgun Gothic"/>
        <w:color w:val="999999"/>
      </w:rPr>
      <w:t>Sınıflandırma|</w:t>
    </w:r>
    <w:r w:rsidRPr="008801F2">
      <w:rPr>
        <w:rStyle w:val="document-info-data"/>
        <w:rFonts w:ascii="Malgun Gothic" w:eastAsia="Malgun Gothic" w:hAnsi="Malgun Gothic"/>
        <w:color w:val="339966"/>
      </w:rPr>
      <w:t>Genel</w:t>
    </w:r>
    <w:r>
      <w:rPr>
        <w:rStyle w:val="document-info-dat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8E76" w14:textId="237214A0" w:rsidR="009F549F" w:rsidRPr="009F549F" w:rsidRDefault="009F549F" w:rsidP="009F549F">
    <w:pPr>
      <w:pStyle w:val="AltBilgi"/>
      <w:jc w:val="left"/>
    </w:pPr>
    <w:r>
      <w:rPr>
        <w:rStyle w:val="document-info-data"/>
      </w:rPr>
      <w:fldChar w:fldCharType="begin" w:fldLock="1"/>
    </w:r>
    <w:r>
      <w:rPr>
        <w:rStyle w:val="document-info-data"/>
      </w:rPr>
      <w:instrText xml:space="preserve"> DOCPROPERTY bjFooterBothDocProperty \* MERGEFORMAT </w:instrText>
    </w:r>
    <w:r>
      <w:rPr>
        <w:rStyle w:val="document-info-data"/>
      </w:rPr>
      <w:fldChar w:fldCharType="separate"/>
    </w:r>
    <w:r w:rsidRPr="008801F2">
      <w:rPr>
        <w:rStyle w:val="document-info-data"/>
        <w:rFonts w:ascii="Malgun Gothic" w:eastAsia="Malgun Gothic" w:hAnsi="Malgun Gothic"/>
        <w:color w:val="999999"/>
      </w:rPr>
      <w:t>Sınıflandırma|</w:t>
    </w:r>
    <w:r w:rsidRPr="008801F2">
      <w:rPr>
        <w:rStyle w:val="document-info-data"/>
        <w:rFonts w:ascii="Malgun Gothic" w:eastAsia="Malgun Gothic" w:hAnsi="Malgun Gothic"/>
        <w:color w:val="339966"/>
      </w:rPr>
      <w:t>Genel</w:t>
    </w:r>
    <w:r>
      <w:rPr>
        <w:rStyle w:val="document-info-dat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B905" w14:textId="65A7EE04" w:rsidR="009F549F" w:rsidRPr="009F549F" w:rsidRDefault="009F549F" w:rsidP="009F549F">
    <w:pPr>
      <w:pStyle w:val="AltBilgi"/>
      <w:jc w:val="left"/>
    </w:pPr>
    <w:r>
      <w:rPr>
        <w:rStyle w:val="document-info-data"/>
      </w:rPr>
      <w:fldChar w:fldCharType="begin" w:fldLock="1"/>
    </w:r>
    <w:r>
      <w:rPr>
        <w:rStyle w:val="document-info-data"/>
      </w:rPr>
      <w:instrText xml:space="preserve"> DOCPROPERTY bjFooterFirstPageDocProperty \* MERGEFORMAT </w:instrText>
    </w:r>
    <w:r>
      <w:rPr>
        <w:rStyle w:val="document-info-data"/>
      </w:rPr>
      <w:fldChar w:fldCharType="separate"/>
    </w:r>
    <w:r w:rsidRPr="008801F2">
      <w:rPr>
        <w:rStyle w:val="document-info-data"/>
        <w:rFonts w:ascii="Malgun Gothic" w:eastAsia="Malgun Gothic" w:hAnsi="Malgun Gothic"/>
        <w:color w:val="999999"/>
      </w:rPr>
      <w:t>Sınıflandırma|</w:t>
    </w:r>
    <w:r w:rsidRPr="008801F2">
      <w:rPr>
        <w:rStyle w:val="document-info-data"/>
        <w:rFonts w:ascii="Malgun Gothic" w:eastAsia="Malgun Gothic" w:hAnsi="Malgun Gothic"/>
        <w:color w:val="339966"/>
      </w:rPr>
      <w:t>Genel</w:t>
    </w:r>
    <w:r>
      <w:rPr>
        <w:rStyle w:val="document-info-dat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A64A2" w14:textId="77777777" w:rsidR="00934EF8" w:rsidRDefault="00934EF8" w:rsidP="009F549F">
      <w:r>
        <w:separator/>
      </w:r>
    </w:p>
  </w:footnote>
  <w:footnote w:type="continuationSeparator" w:id="0">
    <w:p w14:paraId="1615388E" w14:textId="77777777" w:rsidR="00934EF8" w:rsidRDefault="00934EF8" w:rsidP="009F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0BE3" w14:textId="77777777" w:rsidR="009F549F" w:rsidRDefault="009F549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6FE8" w14:textId="77777777" w:rsidR="009F549F" w:rsidRDefault="009F549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18AA" w14:textId="77777777" w:rsidR="009F549F" w:rsidRDefault="009F54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E9"/>
    <w:rsid w:val="00934EF8"/>
    <w:rsid w:val="009A7DE9"/>
    <w:rsid w:val="009F549F"/>
    <w:rsid w:val="00AB6D82"/>
    <w:rsid w:val="00F21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EC7CC"/>
  <w15:chartTrackingRefBased/>
  <w15:docId w15:val="{DAEC0F8D-1CEA-40E7-B87C-B3EDB25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D82"/>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B6D82"/>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AB6D82"/>
    <w:pPr>
      <w:overflowPunct w:val="0"/>
      <w:autoSpaceDE w:val="0"/>
      <w:autoSpaceDN w:val="0"/>
      <w:adjustRightInd w:val="0"/>
      <w:spacing w:line="240" w:lineRule="atLeast"/>
    </w:pPr>
    <w:rPr>
      <w:rFonts w:ascii="Times New Roman" w:eastAsia="Times New Roman" w:hAnsi="Times New Roman" w:cs="Times New Roman"/>
      <w:color w:val="auto"/>
      <w:kern w:val="0"/>
      <w:sz w:val="24"/>
    </w:rPr>
  </w:style>
  <w:style w:type="character" w:customStyle="1" w:styleId="GvdeMetniChar">
    <w:name w:val="Gövde Metni Char"/>
    <w:basedOn w:val="VarsaylanParagrafYazTipi"/>
    <w:link w:val="GvdeMetni"/>
    <w:rsid w:val="00AB6D82"/>
    <w:rPr>
      <w:rFonts w:ascii="Times New Roman" w:eastAsia="Times New Roman" w:hAnsi="Times New Roman" w:cs="Times New Roman"/>
      <w:sz w:val="24"/>
      <w:szCs w:val="20"/>
    </w:rPr>
  </w:style>
  <w:style w:type="paragraph" w:styleId="stBilgi">
    <w:name w:val="header"/>
    <w:basedOn w:val="Normal"/>
    <w:link w:val="stBilgiChar"/>
    <w:uiPriority w:val="99"/>
    <w:unhideWhenUsed/>
    <w:rsid w:val="009F549F"/>
    <w:pPr>
      <w:tabs>
        <w:tab w:val="center" w:pos="4536"/>
        <w:tab w:val="right" w:pos="9072"/>
      </w:tabs>
    </w:pPr>
  </w:style>
  <w:style w:type="character" w:customStyle="1" w:styleId="stBilgiChar">
    <w:name w:val="Üst Bilgi Char"/>
    <w:basedOn w:val="VarsaylanParagrafYazTipi"/>
    <w:link w:val="stBilgi"/>
    <w:uiPriority w:val="99"/>
    <w:rsid w:val="009F549F"/>
    <w:rPr>
      <w:rFonts w:ascii="Arial" w:hAnsi="Arial" w:cs="Arial"/>
      <w:color w:val="000000"/>
      <w:kern w:val="16"/>
      <w:sz w:val="20"/>
      <w:szCs w:val="20"/>
    </w:rPr>
  </w:style>
  <w:style w:type="paragraph" w:styleId="AltBilgi">
    <w:name w:val="footer"/>
    <w:basedOn w:val="Normal"/>
    <w:link w:val="AltBilgiChar"/>
    <w:uiPriority w:val="99"/>
    <w:unhideWhenUsed/>
    <w:rsid w:val="009F549F"/>
    <w:pPr>
      <w:tabs>
        <w:tab w:val="center" w:pos="4536"/>
        <w:tab w:val="right" w:pos="9072"/>
      </w:tabs>
    </w:pPr>
  </w:style>
  <w:style w:type="character" w:customStyle="1" w:styleId="AltBilgiChar">
    <w:name w:val="Alt Bilgi Char"/>
    <w:basedOn w:val="VarsaylanParagrafYazTipi"/>
    <w:link w:val="AltBilgi"/>
    <w:uiPriority w:val="99"/>
    <w:rsid w:val="009F549F"/>
    <w:rPr>
      <w:rFonts w:ascii="Arial" w:hAnsi="Arial" w:cs="Arial"/>
      <w:color w:val="000000"/>
      <w:kern w:val="16"/>
      <w:sz w:val="20"/>
      <w:szCs w:val="20"/>
    </w:rPr>
  </w:style>
  <w:style w:type="character" w:customStyle="1" w:styleId="document-info-data">
    <w:name w:val="document-info-data"/>
    <w:rsid w:val="009F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5034BCF-1BAA-41C0-A03A-2C07A13489F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2023-08-08T13:52:00Z</cp:lastPrinted>
  <dcterms:created xsi:type="dcterms:W3CDTF">2023-01-06T10:57:00Z</dcterms:created>
  <dcterms:modified xsi:type="dcterms:W3CDTF">2023-08-08T13:52:00Z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38f19f1c-8e68-4804-87b0-bdcde99cb2e7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