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13D6C" w14:textId="77777777" w:rsidR="00D666F0" w:rsidRPr="00282749" w:rsidRDefault="00D666F0" w:rsidP="00D666F0">
      <w:pPr>
        <w:pStyle w:val="Balk2"/>
      </w:pPr>
      <w:bookmarkStart w:id="0" w:name="_Toc147751785"/>
      <w:r w:rsidRPr="00282749">
        <w:t>SERMAYE PİYASASI KURULU’NUN</w:t>
      </w:r>
      <w:r>
        <w:t xml:space="preserve"> 17</w:t>
      </w:r>
      <w:r w:rsidRPr="00282749">
        <w:t>/0</w:t>
      </w:r>
      <w:r>
        <w:t>2</w:t>
      </w:r>
      <w:r w:rsidRPr="00282749">
        <w:t>/20</w:t>
      </w:r>
      <w:r>
        <w:t>06</w:t>
      </w:r>
      <w:r w:rsidRPr="00282749">
        <w:t xml:space="preserve"> TARİH ve </w:t>
      </w:r>
      <w:r>
        <w:t>8</w:t>
      </w:r>
      <w:r w:rsidRPr="00282749">
        <w:t>/</w:t>
      </w:r>
      <w:r>
        <w:t>172</w:t>
      </w:r>
      <w:r w:rsidRPr="00282749">
        <w:t xml:space="preserve"> SAYILI KURUL KARARI</w:t>
      </w:r>
      <w:bookmarkEnd w:id="0"/>
    </w:p>
    <w:p w14:paraId="7BBE118D" w14:textId="77777777" w:rsidR="00D666F0" w:rsidRDefault="00D666F0" w:rsidP="00D666F0">
      <w:pPr>
        <w:rPr>
          <w:b/>
        </w:rPr>
      </w:pPr>
    </w:p>
    <w:p w14:paraId="45B45834" w14:textId="77777777" w:rsidR="00D666F0" w:rsidRDefault="00D666F0" w:rsidP="00D666F0">
      <w:pPr>
        <w:rPr>
          <w:b/>
        </w:rPr>
      </w:pPr>
      <w:r>
        <w:rPr>
          <w:b/>
        </w:rPr>
        <w:t>No: 8/172</w:t>
      </w:r>
    </w:p>
    <w:p w14:paraId="32A89C6E" w14:textId="77777777" w:rsidR="00D666F0" w:rsidRDefault="00D666F0" w:rsidP="00D666F0">
      <w:pPr>
        <w:rPr>
          <w:b/>
        </w:rPr>
      </w:pPr>
      <w:r>
        <w:rPr>
          <w:b/>
        </w:rPr>
        <w:t>Kabul ve Yürürlüğe Giriş Tarihi: 17.02.2006</w:t>
      </w:r>
    </w:p>
    <w:p w14:paraId="09860420" w14:textId="77777777" w:rsidR="00D666F0" w:rsidRDefault="00D666F0" w:rsidP="00D666F0">
      <w:pPr>
        <w:rPr>
          <w:b/>
        </w:rPr>
      </w:pPr>
    </w:p>
    <w:p w14:paraId="75590322" w14:textId="77777777" w:rsidR="00D666F0" w:rsidRDefault="00D666F0" w:rsidP="00D666F0">
      <w:pPr>
        <w:rPr>
          <w:b/>
        </w:rPr>
      </w:pPr>
    </w:p>
    <w:p w14:paraId="72DA2270" w14:textId="77777777" w:rsidR="00D666F0" w:rsidRPr="0028279D" w:rsidRDefault="00D666F0" w:rsidP="00D666F0">
      <w:pPr>
        <w:widowControl w:val="0"/>
        <w:spacing w:line="276" w:lineRule="auto"/>
        <w:ind w:right="170"/>
        <w:rPr>
          <w:b/>
        </w:rPr>
      </w:pPr>
      <w:r w:rsidRPr="0028279D">
        <w:rPr>
          <w:b/>
        </w:rPr>
        <w:t>I.Genel İlkeler</w:t>
      </w:r>
    </w:p>
    <w:p w14:paraId="356822E4" w14:textId="77777777" w:rsidR="00D666F0" w:rsidRPr="0028279D" w:rsidRDefault="00D666F0" w:rsidP="00D666F0">
      <w:pPr>
        <w:widowControl w:val="0"/>
        <w:spacing w:line="276" w:lineRule="auto"/>
        <w:ind w:right="170"/>
      </w:pPr>
      <w:r w:rsidRPr="0028279D">
        <w:t>Sermaye piyasası mevzuatında, opsiyon sözleşmeleri, emeklilik yatırım fonu portföyüne alınabilecek türev araçlar arasında sayılmasına rağmen; mevcut durumda Vadeli İşlem ve Opsiyon Borsası A.Ş. (VOB) bünyesinde opsiyon sözleşmelerinin işlem görmediği dikkate alınarak, bu aşamada opsiyon özleşmelerinin emeklilik yatırım fonu portföylerine dahil edilmemesi gerekmektedir.</w:t>
      </w:r>
    </w:p>
    <w:p w14:paraId="770F5692" w14:textId="77777777" w:rsidR="00D666F0" w:rsidRPr="0028279D" w:rsidRDefault="00D666F0" w:rsidP="00D666F0">
      <w:pPr>
        <w:widowControl w:val="0"/>
        <w:spacing w:line="276" w:lineRule="auto"/>
        <w:ind w:right="170"/>
      </w:pPr>
      <w:r w:rsidRPr="0028279D">
        <w:t>VOB bünyesinde işlem gören ürünlere dayalı olarak borsa dışında vadeli işlem sözleşmelerine taraf olunması mümkün değildir.</w:t>
      </w:r>
    </w:p>
    <w:p w14:paraId="227925C3" w14:textId="77777777" w:rsidR="00D666F0" w:rsidRPr="0028279D" w:rsidRDefault="00D666F0" w:rsidP="00D666F0">
      <w:pPr>
        <w:widowControl w:val="0"/>
        <w:spacing w:line="276" w:lineRule="auto"/>
        <w:ind w:right="170"/>
      </w:pPr>
    </w:p>
    <w:p w14:paraId="1CAA7419" w14:textId="77777777" w:rsidR="00D666F0" w:rsidRPr="0028279D" w:rsidRDefault="00D666F0" w:rsidP="00D666F0">
      <w:pPr>
        <w:widowControl w:val="0"/>
        <w:spacing w:line="276" w:lineRule="auto"/>
        <w:ind w:right="170"/>
        <w:rPr>
          <w:b/>
        </w:rPr>
      </w:pPr>
      <w:r w:rsidRPr="0028279D">
        <w:rPr>
          <w:b/>
        </w:rPr>
        <w:t>II. Emeklilik yatırım fonlarının portföylerine dahil edecekleri vadeli işlem sözleşmeleri ile ilgili olarak;</w:t>
      </w:r>
    </w:p>
    <w:p w14:paraId="523496C8" w14:textId="77777777" w:rsidR="00D666F0" w:rsidRPr="0028279D" w:rsidRDefault="00D666F0" w:rsidP="00D666F0">
      <w:pPr>
        <w:widowControl w:val="0"/>
        <w:spacing w:line="276" w:lineRule="auto"/>
        <w:ind w:right="170"/>
      </w:pPr>
      <w:r w:rsidRPr="0028279D">
        <w:t>Genel İlkeler:</w:t>
      </w:r>
    </w:p>
    <w:p w14:paraId="46895D3C" w14:textId="77777777" w:rsidR="00D666F0" w:rsidRPr="0028279D" w:rsidRDefault="00D666F0" w:rsidP="00D666F0">
      <w:pPr>
        <w:widowControl w:val="0"/>
        <w:spacing w:line="276" w:lineRule="auto"/>
        <w:ind w:right="170"/>
      </w:pPr>
      <w:r w:rsidRPr="0028279D">
        <w:t>- Emeklilik yatırım fonları, riskten korunma ilkesi çerçevesinde vadeli işlem sözleşmelerine ilişkin işlemlerde yalnızca kısa po</w:t>
      </w:r>
      <w:bookmarkStart w:id="1" w:name="_GoBack"/>
      <w:bookmarkEnd w:id="1"/>
      <w:r w:rsidRPr="0028279D">
        <w:t>zisyon sahibi olabilirler. Uzun pozisyon sahibi olmak, yalnızca daha önce alınmış bir kısa pozisyonun kapatılması amacıyla mümkündür.</w:t>
      </w:r>
    </w:p>
    <w:p w14:paraId="1ECA93D3" w14:textId="77777777" w:rsidR="00D666F0" w:rsidRPr="0028279D" w:rsidRDefault="00D666F0" w:rsidP="00D666F0">
      <w:pPr>
        <w:widowControl w:val="0"/>
        <w:spacing w:line="276" w:lineRule="auto"/>
        <w:ind w:right="170"/>
      </w:pPr>
      <w:r w:rsidRPr="0028279D">
        <w:t>- Borsalar ve teşkilatlanmış diğer piyasalarda ve/veya borsa dışında işlem gören vadeli işlem sözleşmeleri emeklilik yatırım fonları portföylerine dahil edilebilir. Şu kadar ki;</w:t>
      </w:r>
    </w:p>
    <w:p w14:paraId="5C95D500" w14:textId="77777777" w:rsidR="00D666F0" w:rsidRPr="0028279D" w:rsidRDefault="00D666F0" w:rsidP="00D666F0">
      <w:pPr>
        <w:widowControl w:val="0"/>
        <w:spacing w:line="276" w:lineRule="auto"/>
        <w:ind w:right="170"/>
      </w:pPr>
      <w:r w:rsidRPr="0028279D">
        <w:t>o Borsa dışında taraf olunan vadeli işlem sözleşmeleri nedeniyle maruz kalınan açık pozisyon miktarı fon net varlık değerinin %10’unu geçemez.</w:t>
      </w:r>
    </w:p>
    <w:p w14:paraId="7B19488C" w14:textId="77777777" w:rsidR="00D666F0" w:rsidRPr="0028279D" w:rsidRDefault="00D666F0" w:rsidP="00D666F0">
      <w:pPr>
        <w:widowControl w:val="0"/>
        <w:spacing w:line="276" w:lineRule="auto"/>
        <w:ind w:right="170"/>
      </w:pPr>
      <w:r w:rsidRPr="0028279D">
        <w:t>o Borsa dışında işlem gören vadeli işlem sözleşmelerinde, sözleşmenin karşı tarafı olan kurumun, bulunduğu ülke yetkili otoritelerince denetim ve gözetime tabi finansal bir kurum (banka, aracı kurum v.b.) olması zorunludur.</w:t>
      </w:r>
    </w:p>
    <w:p w14:paraId="1401241D" w14:textId="77777777" w:rsidR="00D666F0" w:rsidRPr="0028279D" w:rsidRDefault="00D666F0" w:rsidP="00D666F0">
      <w:pPr>
        <w:widowControl w:val="0"/>
        <w:spacing w:line="276" w:lineRule="auto"/>
        <w:ind w:right="170"/>
      </w:pPr>
      <w:r w:rsidRPr="0028279D">
        <w:t>o Borsa dışında taraf olunan vadeli işlem sözleşmelerinin, günlük olarak güvenilir ve doğrulanabilir bir yöntemle değerlemeye tabi tutulması ve bu sözleşmelerin istenildiği an makul değeri üzerinden satılabilir, tasfiye edilebilir veya ters pozisyon alınarak kapatılabilir nitelikte olması gereklidir.</w:t>
      </w:r>
    </w:p>
    <w:p w14:paraId="0AD32CC1" w14:textId="77777777" w:rsidR="00D666F0" w:rsidRPr="0028279D" w:rsidRDefault="00D666F0" w:rsidP="00D666F0">
      <w:pPr>
        <w:widowControl w:val="0"/>
        <w:spacing w:line="276" w:lineRule="auto"/>
        <w:ind w:right="170"/>
      </w:pPr>
      <w:r w:rsidRPr="0028279D">
        <w:t>Vadeli İşlem Pozisyon Limiti:</w:t>
      </w:r>
    </w:p>
    <w:p w14:paraId="62688EC6" w14:textId="77777777" w:rsidR="00D666F0" w:rsidRPr="0028279D" w:rsidRDefault="00D666F0" w:rsidP="00D666F0">
      <w:pPr>
        <w:widowControl w:val="0"/>
        <w:spacing w:line="276" w:lineRule="auto"/>
        <w:ind w:right="170"/>
      </w:pPr>
      <w:r w:rsidRPr="0028279D">
        <w:t>- Vadeli işlem sözleşmelerine taraf olunması nedeniyle maruz kalınan ve Ek’de yer alan örneğe göre hesaplanan toplam açık pozisyon miktarı fon net varlık değerini aşamaz.</w:t>
      </w:r>
    </w:p>
    <w:p w14:paraId="603A37A4" w14:textId="77777777" w:rsidR="00D666F0" w:rsidRPr="0028279D" w:rsidRDefault="00D666F0" w:rsidP="00D666F0">
      <w:pPr>
        <w:widowControl w:val="0"/>
        <w:spacing w:line="276" w:lineRule="auto"/>
        <w:ind w:right="170"/>
      </w:pPr>
      <w:r w:rsidRPr="0028279D">
        <w:t>- Açık pozisyon tutarı hesaplanırken öncelikle her bir sözleşme bazında ters işlemle kapatılmamış kısa pozisyonların sayısı, uzlaşma fiyatı ve sözleşme büyüklüğü dikkate alınır.</w:t>
      </w:r>
    </w:p>
    <w:p w14:paraId="34757621" w14:textId="77777777" w:rsidR="00D666F0" w:rsidRPr="0028279D" w:rsidRDefault="00D666F0" w:rsidP="00D666F0">
      <w:pPr>
        <w:widowControl w:val="0"/>
        <w:spacing w:line="276" w:lineRule="auto"/>
        <w:ind w:right="170"/>
      </w:pPr>
      <w:r w:rsidRPr="0028279D">
        <w:t>- Açık pozisyon tutarı hesabına İMKB Tahvil ve Bono Piyasası Kesin Alım Satım Pazarında yapılan ileri valörlü işlemler dahil değildir.</w:t>
      </w:r>
    </w:p>
    <w:p w14:paraId="1941AAE1" w14:textId="77777777" w:rsidR="00D666F0" w:rsidRPr="0028279D" w:rsidRDefault="00D666F0" w:rsidP="00D666F0">
      <w:pPr>
        <w:widowControl w:val="0"/>
        <w:spacing w:line="276" w:lineRule="auto"/>
        <w:ind w:right="170"/>
      </w:pPr>
      <w:r w:rsidRPr="0028279D">
        <w:t>Riskten Korunma:</w:t>
      </w:r>
    </w:p>
    <w:p w14:paraId="074539E1" w14:textId="77777777" w:rsidR="00D666F0" w:rsidRPr="0028279D" w:rsidRDefault="00D666F0" w:rsidP="00D666F0">
      <w:pPr>
        <w:widowControl w:val="0"/>
        <w:spacing w:line="276" w:lineRule="auto"/>
        <w:ind w:right="170"/>
      </w:pPr>
      <w:r w:rsidRPr="0028279D">
        <w:t>- Riskten korunma ilkesi çerçevesinde korunmak istenen araçlarla kısa pozisyon alınan varlık arasında menkul türü açısından uyum olmalı ve aralarında yeterli bir korelasyon bulunmalıdır.</w:t>
      </w:r>
    </w:p>
    <w:p w14:paraId="05CA32CD" w14:textId="77777777" w:rsidR="00D666F0" w:rsidRPr="0028279D" w:rsidRDefault="00D666F0" w:rsidP="00D666F0">
      <w:pPr>
        <w:widowControl w:val="0"/>
        <w:spacing w:line="276" w:lineRule="auto"/>
        <w:ind w:right="170"/>
      </w:pPr>
      <w:r w:rsidRPr="0028279D">
        <w:t>- Yeterli korelasyonun, vadeli işlem sözleşmesinin vade sonuna kadar devam etmesi şarttır. Kısa pozisyon alınan varlık ile korunan araç arasındaki korelasyonun sözleşme süresi içerisinde yeterli olmaması durumunda, kısa pozisyonunun kapatılması gereklidir.</w:t>
      </w:r>
    </w:p>
    <w:p w14:paraId="390B8F95" w14:textId="77777777" w:rsidR="00D666F0" w:rsidRPr="0028279D" w:rsidRDefault="00D666F0" w:rsidP="00D666F0">
      <w:pPr>
        <w:widowControl w:val="0"/>
        <w:spacing w:line="276" w:lineRule="auto"/>
        <w:ind w:right="170"/>
      </w:pPr>
      <w:r w:rsidRPr="0028279D">
        <w:t>Raporlama ve Kamuyu Aydınlatma:</w:t>
      </w:r>
    </w:p>
    <w:p w14:paraId="0B9007F2" w14:textId="77777777" w:rsidR="00D666F0" w:rsidRPr="0028279D" w:rsidRDefault="00D666F0" w:rsidP="00D666F0">
      <w:pPr>
        <w:widowControl w:val="0"/>
        <w:spacing w:line="276" w:lineRule="auto"/>
        <w:ind w:right="170"/>
      </w:pPr>
      <w:r w:rsidRPr="0028279D">
        <w:t>- Emeklilik yatırım fonu portföylerine dâhil edilecek vadeli işlem sözleşmeleri ile ilgili genel ilkelerin (hangi tür vadeli işlem sözleşmelerine taraf olunacağı, sözleşmelere konu varlıkların nasıl belirleneceği, olası riskler, varsa toplam açık pozisyon miktarının fon net varlık değerine oranı için belirlenen üst limit, borsa dışında taraf olunan vadeli işlem sözleşmelerine ilişkin değerleme ilkeleri vs.) fon kurulu kararı ile belirlenmesi ve bu ilkelere izahname ve sürekli bilgilendirme formunda yer verilmesi gereklidir.</w:t>
      </w:r>
    </w:p>
    <w:p w14:paraId="2F8D86F6" w14:textId="77777777" w:rsidR="00D666F0" w:rsidRPr="0028279D" w:rsidRDefault="00D666F0" w:rsidP="00D666F0">
      <w:pPr>
        <w:widowControl w:val="0"/>
        <w:spacing w:line="276" w:lineRule="auto"/>
        <w:ind w:right="170"/>
      </w:pPr>
      <w:r w:rsidRPr="0028279D">
        <w:t>- Portföye alınacak vadeli işlem sözleşmeleri ile ilgili genel risk yönetim prosedürlerinin fon kurulu kararı ile yazılı olarak belirlenmesi gereklidir.</w:t>
      </w:r>
    </w:p>
    <w:p w14:paraId="637F601C" w14:textId="77777777" w:rsidR="00D666F0" w:rsidRPr="0028279D" w:rsidRDefault="00D666F0" w:rsidP="00D666F0">
      <w:pPr>
        <w:widowControl w:val="0"/>
        <w:spacing w:line="276" w:lineRule="auto"/>
        <w:ind w:right="170"/>
      </w:pPr>
      <w:r w:rsidRPr="0028279D">
        <w:lastRenderedPageBreak/>
        <w:t>- Vadeli işlem sözleşmelerinin portföye dahil edilmesine ve portföyden çıkarılmasına yönelik olarak yapılan her işlemde; işlemin gerekçesi, tutarı, vadesi, sözleşmeye konu varlık, maruz kalınan açık pozisyon miktarının fon net varlık değerine oranı, fonun risk profili açısından bu sözleşemeye taraf olmanın muhtemel sonuçları, borsa dışı bir sözleşmeye taraf olunması halinde kullanılan değerleme ilkeleri gibi detaylı bilgiler portföy yöneticisi nezdinde tutulur.</w:t>
      </w:r>
    </w:p>
    <w:p w14:paraId="2896FCB9" w14:textId="77777777" w:rsidR="00D666F0" w:rsidRPr="0028279D" w:rsidRDefault="00D666F0" w:rsidP="00D666F0">
      <w:pPr>
        <w:widowControl w:val="0"/>
        <w:spacing w:line="276" w:lineRule="auto"/>
        <w:ind w:right="170"/>
      </w:pPr>
      <w:r w:rsidRPr="0028279D">
        <w:t>Değerleme:</w:t>
      </w:r>
    </w:p>
    <w:p w14:paraId="436A03EC" w14:textId="77777777" w:rsidR="00D666F0" w:rsidRPr="0028279D" w:rsidRDefault="00D666F0" w:rsidP="00D666F0">
      <w:pPr>
        <w:widowControl w:val="0"/>
        <w:spacing w:line="276" w:lineRule="auto"/>
        <w:ind w:right="170"/>
      </w:pPr>
      <w:r w:rsidRPr="0028279D">
        <w:t>- Vadeli işlem sözleşmeleri nedeniyle teminat olarak verilen varlıklar portföy tablosundan çıkarılmadan aynı şekilde değerlenmeye devam edilmelidir.</w:t>
      </w:r>
    </w:p>
    <w:p w14:paraId="55254FD9" w14:textId="77777777" w:rsidR="00D666F0" w:rsidRPr="0028279D" w:rsidRDefault="00D666F0" w:rsidP="00D666F0">
      <w:pPr>
        <w:widowControl w:val="0"/>
        <w:spacing w:line="276" w:lineRule="auto"/>
        <w:ind w:right="170"/>
      </w:pPr>
      <w:r w:rsidRPr="0028279D">
        <w:t>- Vadeli işlem sözleşmelerinde değerleme günü itibariyle oluşan kar veya zarar portföy tablosunda yer alan teminatlara eklenir ve düşülür.</w:t>
      </w:r>
    </w:p>
    <w:p w14:paraId="13750CE1" w14:textId="77777777" w:rsidR="00D666F0" w:rsidRPr="0028279D" w:rsidRDefault="00D666F0" w:rsidP="00D666F0">
      <w:pPr>
        <w:widowControl w:val="0"/>
        <w:spacing w:line="276" w:lineRule="auto"/>
        <w:ind w:right="170"/>
      </w:pPr>
      <w:r w:rsidRPr="0028279D">
        <w:t>- Vadeli işlem sözleşmeleri nedeniyle oluşan kar ve zarar teminatlarla ilişkilendirileceği için portföy tablosunda vadeli işlem sözleşmelerinin değeri sıfır olarak gösterilir.</w:t>
      </w:r>
    </w:p>
    <w:p w14:paraId="0C7BCD70" w14:textId="77777777" w:rsidR="00D666F0" w:rsidRPr="0028279D" w:rsidRDefault="00D666F0" w:rsidP="00D666F0">
      <w:pPr>
        <w:widowControl w:val="0"/>
        <w:spacing w:line="276" w:lineRule="auto"/>
        <w:ind w:right="170"/>
      </w:pPr>
      <w:r w:rsidRPr="0028279D">
        <w:t>- Portföy tablosunda kapatılmamış vadeli işlem sözleşmeleri kısa ve uzun pozisyon başlığı altında gösterilir.</w:t>
      </w:r>
    </w:p>
    <w:p w14:paraId="0484EFEC" w14:textId="77777777" w:rsidR="00D666F0" w:rsidRDefault="00D666F0" w:rsidP="00D666F0">
      <w:pPr>
        <w:rPr>
          <w:b/>
        </w:rPr>
      </w:pPr>
    </w:p>
    <w:p w14:paraId="0B960695" w14:textId="77777777" w:rsidR="00A174FE" w:rsidRPr="00D666F0" w:rsidRDefault="00A174FE" w:rsidP="00D666F0"/>
    <w:sectPr w:rsidR="00A174FE" w:rsidRPr="00D666F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EB825" w14:textId="77777777" w:rsidR="00D3581F" w:rsidRDefault="00D3581F" w:rsidP="00193C85">
      <w:r>
        <w:separator/>
      </w:r>
    </w:p>
  </w:endnote>
  <w:endnote w:type="continuationSeparator" w:id="0">
    <w:p w14:paraId="4B1E2114" w14:textId="77777777" w:rsidR="00D3581F" w:rsidRDefault="00D3581F" w:rsidP="0019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EB45" w14:textId="6726773E" w:rsidR="00193C85" w:rsidRPr="00D666F0" w:rsidRDefault="00D666F0" w:rsidP="00D666F0">
    <w:pPr>
      <w:pStyle w:val="AltBilgi"/>
    </w:pPr>
    <w:r>
      <w:rPr>
        <w:bCs/>
        <w:lang w:eastAsia="tr-TR"/>
      </w:rPr>
      <w:fldChar w:fldCharType="begin" w:fldLock="1"/>
    </w:r>
    <w:r>
      <w:rPr>
        <w:bCs/>
        <w:lang w:eastAsia="tr-TR"/>
      </w:rPr>
      <w:instrText xml:space="preserve"> DOCPROPERTY bjFooterEvenPageDocProperty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F3911" w14:textId="6960021B" w:rsidR="00193C85" w:rsidRPr="00D666F0" w:rsidRDefault="00D666F0" w:rsidP="00D666F0">
    <w:pPr>
      <w:pStyle w:val="AltBilgi"/>
    </w:pPr>
    <w:r>
      <w:rPr>
        <w:bCs/>
        <w:lang w:eastAsia="tr-TR"/>
      </w:rPr>
      <w:fldChar w:fldCharType="begin" w:fldLock="1"/>
    </w:r>
    <w:r>
      <w:rPr>
        <w:bCs/>
        <w:lang w:eastAsia="tr-TR"/>
      </w:rPr>
      <w:instrText xml:space="preserve"> DOCPROPERTY bjFooterBothDocProperty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DF612" w14:textId="0FC3423A" w:rsidR="00193C85" w:rsidRPr="00D666F0" w:rsidRDefault="00D666F0" w:rsidP="00D666F0">
    <w:pPr>
      <w:pStyle w:val="AltBilgi"/>
    </w:pPr>
    <w:r>
      <w:rPr>
        <w:bCs/>
        <w:lang w:eastAsia="tr-TR"/>
      </w:rPr>
      <w:fldChar w:fldCharType="begin" w:fldLock="1"/>
    </w:r>
    <w:r>
      <w:rPr>
        <w:bCs/>
        <w:lang w:eastAsia="tr-TR"/>
      </w:rPr>
      <w:instrText xml:space="preserve"> DOCPROPERTY bjFooterFirstPageDocProperty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9C1E3" w14:textId="77777777" w:rsidR="00D3581F" w:rsidRDefault="00D3581F" w:rsidP="00193C85">
      <w:r>
        <w:separator/>
      </w:r>
    </w:p>
  </w:footnote>
  <w:footnote w:type="continuationSeparator" w:id="0">
    <w:p w14:paraId="4091BC98" w14:textId="77777777" w:rsidR="00D3581F" w:rsidRDefault="00D3581F" w:rsidP="00193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C73CA" w14:textId="77777777" w:rsidR="00193C85" w:rsidRDefault="00193C8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5D084" w14:textId="77777777" w:rsidR="00193C85" w:rsidRDefault="00193C8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D7F71" w14:textId="77777777" w:rsidR="00193C85" w:rsidRDefault="00193C8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A7"/>
    <w:rsid w:val="00193C85"/>
    <w:rsid w:val="0020246B"/>
    <w:rsid w:val="007547D6"/>
    <w:rsid w:val="0086304C"/>
    <w:rsid w:val="008701A7"/>
    <w:rsid w:val="00A174FE"/>
    <w:rsid w:val="00C353A7"/>
    <w:rsid w:val="00D3581F"/>
    <w:rsid w:val="00D666F0"/>
    <w:rsid w:val="00F149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E1CD5"/>
  <w15:chartTrackingRefBased/>
  <w15:docId w15:val="{890570F2-AA97-44B1-9C57-20929DD7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46B"/>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unhideWhenUsed/>
    <w:qFormat/>
    <w:rsid w:val="00193C85"/>
    <w:pPr>
      <w:keepNext/>
      <w:widowControl w:val="0"/>
      <w:spacing w:line="276" w:lineRule="auto"/>
      <w:ind w:right="900"/>
      <w:jc w:val="center"/>
      <w:outlineLvl w:val="1"/>
    </w:pPr>
    <w:rPr>
      <w:rFonts w:eastAsia="Cambria"/>
      <w:b/>
      <w:color w:val="auto"/>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93C85"/>
    <w:rPr>
      <w:rFonts w:ascii="Arial" w:eastAsia="Cambria" w:hAnsi="Arial" w:cs="Arial"/>
      <w:b/>
      <w:kern w:val="16"/>
      <w:sz w:val="24"/>
      <w:szCs w:val="24"/>
      <w:lang w:eastAsia="tr-TR"/>
    </w:rPr>
  </w:style>
  <w:style w:type="paragraph" w:styleId="stBilgi">
    <w:name w:val="header"/>
    <w:basedOn w:val="Normal"/>
    <w:link w:val="stBilgiChar"/>
    <w:uiPriority w:val="99"/>
    <w:unhideWhenUsed/>
    <w:rsid w:val="00193C85"/>
    <w:pPr>
      <w:tabs>
        <w:tab w:val="center" w:pos="4536"/>
        <w:tab w:val="right" w:pos="9072"/>
      </w:tabs>
      <w:jc w:val="left"/>
    </w:pPr>
    <w:rPr>
      <w:rFonts w:asciiTheme="minorHAnsi" w:hAnsiTheme="minorHAnsi" w:cstheme="minorBidi"/>
      <w:color w:val="auto"/>
      <w:kern w:val="0"/>
      <w:sz w:val="22"/>
      <w:szCs w:val="22"/>
    </w:rPr>
  </w:style>
  <w:style w:type="character" w:customStyle="1" w:styleId="stBilgiChar">
    <w:name w:val="Üst Bilgi Char"/>
    <w:basedOn w:val="VarsaylanParagrafYazTipi"/>
    <w:link w:val="stBilgi"/>
    <w:uiPriority w:val="99"/>
    <w:rsid w:val="00193C85"/>
  </w:style>
  <w:style w:type="paragraph" w:styleId="AltBilgi">
    <w:name w:val="footer"/>
    <w:basedOn w:val="Normal"/>
    <w:link w:val="AltBilgiChar"/>
    <w:uiPriority w:val="99"/>
    <w:unhideWhenUsed/>
    <w:rsid w:val="00193C85"/>
    <w:pPr>
      <w:tabs>
        <w:tab w:val="center" w:pos="4536"/>
        <w:tab w:val="right" w:pos="9072"/>
      </w:tabs>
      <w:jc w:val="left"/>
    </w:pPr>
    <w:rPr>
      <w:rFonts w:asciiTheme="minorHAnsi" w:hAnsiTheme="minorHAnsi" w:cstheme="minorBidi"/>
      <w:color w:val="auto"/>
      <w:kern w:val="0"/>
      <w:sz w:val="22"/>
      <w:szCs w:val="22"/>
    </w:rPr>
  </w:style>
  <w:style w:type="character" w:customStyle="1" w:styleId="AltBilgiChar">
    <w:name w:val="Alt Bilgi Char"/>
    <w:basedOn w:val="VarsaylanParagrafYazTipi"/>
    <w:link w:val="AltBilgi"/>
    <w:uiPriority w:val="99"/>
    <w:rsid w:val="00193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D44900F7-4B08-44E7-AAE3-3B859B4FB2E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689</Words>
  <Characters>3931</Characters>
  <Application>Microsoft Office Word</Application>
  <DocSecurity>0</DocSecurity>
  <Lines>32</Lines>
  <Paragraphs>9</Paragraphs>
  <ScaleCrop>false</ScaleCrop>
  <Company>Emeklilik Gozetim Merkezi</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5</cp:revision>
  <dcterms:created xsi:type="dcterms:W3CDTF">2023-10-12T18:45:00Z</dcterms:created>
  <dcterms:modified xsi:type="dcterms:W3CDTF">2023-10-12T19:16:00Z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8a6ba499-a70b-4802-8760-3c47591788d5</vt:lpwstr>
  </property>
  <property fmtid="{D5CDD505-2E9C-101B-9397-08002B2CF9AE}" pid="3"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4" name="bjDocumentLabelXML-0">
    <vt:lpwstr>ames.com/2008/01/sie/internal/label"&gt;&lt;element uid="16f479a6-fc80-474c-ab11-d67f073bb2c9" value="" /&gt;&lt;/sisl&gt;</vt:lpwstr>
  </property>
  <property fmtid="{D5CDD505-2E9C-101B-9397-08002B2CF9AE}" pid="5" name="bjDocumentSecurityLabel">
    <vt:lpwstr>Bu iletinin sınıflandırması Genel</vt:lpwstr>
  </property>
  <property fmtid="{D5CDD505-2E9C-101B-9397-08002B2CF9AE}" pid="6" name="bjClsUserRVM">
    <vt:lpwstr>[]</vt:lpwstr>
  </property>
  <property fmtid="{D5CDD505-2E9C-101B-9397-08002B2CF9AE}" pid="7" name="bjFooterBothDocProperty">
    <vt:lpwstr>Sınıflandırma|Genel</vt:lpwstr>
  </property>
  <property fmtid="{D5CDD505-2E9C-101B-9397-08002B2CF9AE}" pid="8" name="bjFooterFirstPageDocProperty">
    <vt:lpwstr>Sınıflandırma|Genel</vt:lpwstr>
  </property>
  <property fmtid="{D5CDD505-2E9C-101B-9397-08002B2CF9AE}" pid="9" name="bjFooterEvenPageDocProperty">
    <vt:lpwstr>Sınıflandırma|Genel</vt:lpwstr>
  </property>
  <property fmtid="{D5CDD505-2E9C-101B-9397-08002B2CF9AE}" pid="10" name="bjSaver">
    <vt:lpwstr>iZryUG4O9W7v4YkSJ4oIH8Eo71bnL+pl</vt:lpwstr>
  </property>
</Properties>
</file>