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F2454" w14:textId="77777777" w:rsidR="00E9726F" w:rsidRPr="00282749" w:rsidRDefault="00E9726F" w:rsidP="00E9726F">
      <w:pPr>
        <w:pStyle w:val="Balk2"/>
      </w:pPr>
      <w:bookmarkStart w:id="0" w:name="_Toc147751795"/>
      <w:r w:rsidRPr="00282749">
        <w:t>SERMAYE PİYASASI KURULU’NUN</w:t>
      </w:r>
      <w:r>
        <w:t xml:space="preserve"> 14</w:t>
      </w:r>
      <w:r w:rsidRPr="00282749">
        <w:t>/0</w:t>
      </w:r>
      <w:r>
        <w:t>2</w:t>
      </w:r>
      <w:r w:rsidRPr="00282749">
        <w:t>/20</w:t>
      </w:r>
      <w:r>
        <w:t>23</w:t>
      </w:r>
      <w:r w:rsidRPr="00282749">
        <w:t xml:space="preserve"> TARİH ve</w:t>
      </w:r>
      <w:r>
        <w:t xml:space="preserve"> 9/176 </w:t>
      </w:r>
      <w:r w:rsidRPr="00282749">
        <w:t>SAYILI KURUL KARARI</w:t>
      </w:r>
      <w:bookmarkEnd w:id="0"/>
    </w:p>
    <w:p w14:paraId="30B14DF5" w14:textId="77777777" w:rsidR="00E9726F" w:rsidRDefault="00E9726F" w:rsidP="00E9726F">
      <w:pPr>
        <w:spacing w:line="276" w:lineRule="auto"/>
        <w:rPr>
          <w:b/>
        </w:rPr>
      </w:pPr>
    </w:p>
    <w:p w14:paraId="1D0886A0" w14:textId="5ACFB08D" w:rsidR="00E9726F" w:rsidRDefault="00E9726F" w:rsidP="00E9726F">
      <w:pPr>
        <w:spacing w:line="276" w:lineRule="auto"/>
        <w:rPr>
          <w:b/>
        </w:rPr>
      </w:pPr>
      <w:r>
        <w:rPr>
          <w:b/>
        </w:rPr>
        <w:t xml:space="preserve">   </w:t>
      </w:r>
      <w:bookmarkStart w:id="1" w:name="_GoBack"/>
      <w:bookmarkEnd w:id="1"/>
      <w:r>
        <w:rPr>
          <w:b/>
        </w:rPr>
        <w:t>No: 9/176</w:t>
      </w:r>
    </w:p>
    <w:p w14:paraId="6B215AB3" w14:textId="77777777" w:rsidR="00E9726F" w:rsidRDefault="00E9726F" w:rsidP="00E9726F">
      <w:pPr>
        <w:spacing w:line="276" w:lineRule="auto"/>
        <w:ind w:firstLine="170"/>
        <w:rPr>
          <w:b/>
        </w:rPr>
      </w:pPr>
      <w:r>
        <w:rPr>
          <w:b/>
        </w:rPr>
        <w:t>Kabul ve Yürürlüğe Giriş Tarihi: 14.02.2023</w:t>
      </w:r>
    </w:p>
    <w:p w14:paraId="79A1762A" w14:textId="77777777" w:rsidR="00E9726F" w:rsidRDefault="00E9726F" w:rsidP="00E9726F"/>
    <w:p w14:paraId="423F3440" w14:textId="77777777" w:rsidR="00E9726F" w:rsidRDefault="00E9726F" w:rsidP="00E9726F"/>
    <w:p w14:paraId="0DC452FF" w14:textId="77777777" w:rsidR="00E9726F" w:rsidRPr="00F53BF3" w:rsidRDefault="00E9726F" w:rsidP="00E9726F">
      <w:pPr>
        <w:widowControl w:val="0"/>
        <w:spacing w:line="276" w:lineRule="auto"/>
        <w:ind w:left="170" w:right="170"/>
      </w:pPr>
      <w:r w:rsidRPr="00F53BF3">
        <w:t>06.02.2023 tarihinde merkez üssü Kahramanmaraş olan ve Adana, Adıyaman, Diyarbakır, Gaziantep, Hatay, Kahramanmaraş, Kilis, Malatya, Osmaniye ve Şanlıurfa’yı (Deprem Bölgesi) etkileyen depremler nedeniyle ülkemizin yaşadığı zor zamanlarda, depremin finansal piyasalar üzerindeki olumsuz etkisinin asgariye indirilebilmesi ve olası yatırımcı mağduriyetlerinin önüne geçilmesi için;</w:t>
      </w:r>
    </w:p>
    <w:p w14:paraId="3FB0A8A6" w14:textId="77777777" w:rsidR="00E9726F" w:rsidRPr="00F53BF3" w:rsidRDefault="00E9726F" w:rsidP="00E9726F">
      <w:pPr>
        <w:widowControl w:val="0"/>
        <w:spacing w:line="276" w:lineRule="auto"/>
        <w:ind w:left="170" w:right="170"/>
      </w:pPr>
      <w:r w:rsidRPr="00F53BF3">
        <w:t>1</w:t>
      </w:r>
      <w:r>
        <w:t xml:space="preserve">) a) </w:t>
      </w:r>
      <w:r w:rsidRPr="00CE1212">
        <w:rPr>
          <w:b/>
        </w:rPr>
        <w:t>(Değişik bent: Sermaye Piyasası Kurulu’nun 06/04/2023 Tarih ve 22/453 Sayılı Kararı Uyarınca Yapılan Duyuru)</w:t>
      </w:r>
      <w:r>
        <w:t xml:space="preserve"> </w:t>
      </w:r>
      <w:r w:rsidRPr="00F53BF3">
        <w:t>30.06.2023 tarihine kadar; aracı kurumlarca, portföy büyüklüğü 1.000.000 Türk Lirası ve altında olan müşterilere uygulanacak azami kredi faiz oranının ve kredili olmayan bir alım emri nedeni ile ödemekle yükümlü oldukları tutarın tamamının veya bir kısmının takas günü itibarıyla tevdi edilmemesi veya söz konusu tutarın takas tarihi itibarıyla aracı kurum nezdindeki hesaplarında bulunmaması durumunda (temerrüt durumunda) uygulanacak faiz oranının, aracı kurumun vereceği kredinin, kaynak maliyeti dikkate alınarak, sermaye piyasasına olan algıyı olumsuz etkileyecek ve güveni zedeleyecek uygulamalardan kaçınılmak suretiyle, makul bir seviyede belirlenmesi yönünde tavsiye kararı alınmasına,</w:t>
      </w:r>
    </w:p>
    <w:p w14:paraId="7742C1FE" w14:textId="77777777" w:rsidR="00E9726F" w:rsidRPr="00F53BF3" w:rsidRDefault="00E9726F" w:rsidP="00E9726F">
      <w:pPr>
        <w:widowControl w:val="0"/>
        <w:spacing w:line="276" w:lineRule="auto"/>
        <w:ind w:left="170" w:right="170"/>
      </w:pPr>
      <w:r w:rsidRPr="00F53BF3">
        <w:t>b) 06.02.2023 tarihi itibariyle Deprem Bölgesi’nde ikametgâhı, işyeri adresi veya şubede hesabı bulunan müşterilerin, 06.02.2023 tarihinden itibaren oluşan temerrüt durumlarında, Seri: V, No:65 sayılı Sermaye Piyasası Araçlarının Kredili Alım, Açığa Satış ve Ödünç Alma ve Verme İşlemleri Hakkında Tebliğ'in (Kredili İşlemler Tebliği) 16’ncı maddesi çerçevesinde 30.06.2023 tarihine kadar işlem tesis edilmemesi, temerrüde ve temerrüt sonucuna bağlı işlemlerin yapılmaması şeklinde uygulamanın yönlendirilmesine,</w:t>
      </w:r>
    </w:p>
    <w:p w14:paraId="5719175F" w14:textId="77777777" w:rsidR="00E9726F" w:rsidRPr="00F53BF3" w:rsidRDefault="00E9726F" w:rsidP="00E9726F">
      <w:pPr>
        <w:widowControl w:val="0"/>
        <w:spacing w:line="276" w:lineRule="auto"/>
        <w:ind w:left="170" w:right="170"/>
      </w:pPr>
      <w:r w:rsidRPr="00F53BF3">
        <w:t>c) Bu maddenin (a) bendi kapsamında belirlenen faiz oranlarının, Merkezi Kayıt Kuruluşu AŞ’nin (MKK) Yatırımcı Risk Takip Sistemi’ne aracı kurumlarca müşteri bazında raporlanmasına,</w:t>
      </w:r>
    </w:p>
    <w:p w14:paraId="78A27924" w14:textId="77777777" w:rsidR="00E9726F" w:rsidRPr="00F53BF3" w:rsidRDefault="00E9726F" w:rsidP="00E9726F">
      <w:pPr>
        <w:widowControl w:val="0"/>
        <w:spacing w:line="276" w:lineRule="auto"/>
        <w:ind w:left="170" w:right="170"/>
      </w:pPr>
      <w:r w:rsidRPr="00F53BF3">
        <w:t>2) 30.06.2023 tarihine kadar, aracı kurumların hazırladığı sermaye yeterliliği tablolarında, kendi portföylerine alınan pay senetlerine ilişkin pozisyon riski oranının %10 yerine %3 üzerinden, kredi hesabı altında izlenen “Diğer müşteriler” için pozisyon riski oranının ise %8 yerine %4 üzerinden hesaplanmasına,</w:t>
      </w:r>
    </w:p>
    <w:p w14:paraId="0C0E4DEC" w14:textId="77777777" w:rsidR="00E9726F" w:rsidRPr="00F53BF3" w:rsidRDefault="00E9726F" w:rsidP="00E9726F">
      <w:pPr>
        <w:widowControl w:val="0"/>
        <w:spacing w:line="276" w:lineRule="auto"/>
        <w:ind w:left="170" w:right="170"/>
      </w:pPr>
      <w:r w:rsidRPr="00F53BF3">
        <w:t>3) 30.06.2023 tarihine kadar, Kredili İşlemler Tebliği’nin 7’nci maddesi uyarınca yapılacak genel işlem sınırı hesaplamasında, 06.02.2023 tarihi itibariyle Deprem Bölgesi’nde ikametgâhı, işyeri adresi veya şubede hesabı bulunan müşterilere kullandırılan kredilerin dikkate alınmamasına,</w:t>
      </w:r>
    </w:p>
    <w:p w14:paraId="1BD00352" w14:textId="77777777" w:rsidR="00E9726F" w:rsidRPr="00F53BF3" w:rsidRDefault="00E9726F" w:rsidP="00E9726F">
      <w:pPr>
        <w:widowControl w:val="0"/>
        <w:spacing w:line="276" w:lineRule="auto"/>
        <w:ind w:left="170" w:right="170"/>
      </w:pPr>
      <w:r w:rsidRPr="00F53BF3">
        <w:t>4) </w:t>
      </w:r>
      <w:r w:rsidRPr="00CE1212">
        <w:rPr>
          <w:b/>
        </w:rPr>
        <w:t>(Değişik bent: Sermaye Piyasası Kurulu’nun 06/04/2023 Tarih ve 22/453 Sayılı Kararı Uyarınca Yapılan Duyuru)</w:t>
      </w:r>
      <w:r>
        <w:t xml:space="preserve"> </w:t>
      </w:r>
      <w:r w:rsidRPr="00F53BF3">
        <w:t>Kurulumuzun 19.03.2020 tarihli ve 17/400 sayılı Kararı uyarınca %35 olarak belirlenen başlangıç özkaynak koruma oranının, 30.06.2023 tarihine kadar %20 olarak uygulanmasına,</w:t>
      </w:r>
    </w:p>
    <w:p w14:paraId="161C1731" w14:textId="77777777" w:rsidR="00E9726F" w:rsidRPr="00F53BF3" w:rsidRDefault="00E9726F" w:rsidP="00E9726F">
      <w:pPr>
        <w:widowControl w:val="0"/>
        <w:spacing w:line="276" w:lineRule="auto"/>
        <w:ind w:left="170" w:right="170"/>
      </w:pPr>
      <w:r w:rsidRPr="00F53BF3">
        <w:t>5) Kurulumuzun 06.02.2023 tarihinde Deprem Bölgesi’ndeki yatırımcılara yönelik aldığı Kararın tüm yatırımcılara teşmil edilmesi amacıyla;</w:t>
      </w:r>
    </w:p>
    <w:p w14:paraId="4EB26155" w14:textId="77777777" w:rsidR="00E9726F" w:rsidRPr="00F53BF3" w:rsidRDefault="00E9726F" w:rsidP="00E9726F">
      <w:pPr>
        <w:widowControl w:val="0"/>
        <w:spacing w:line="276" w:lineRule="auto"/>
        <w:ind w:left="170" w:right="170"/>
      </w:pPr>
      <w:r w:rsidRPr="00F53BF3">
        <w:t>a) Kredili olmayan bir alım emri nedeni ile müşterinin ödemekle yükümlü olduğu tutarın tamamının veya bir kısmının takas günü itibarıyla tevdi edilmemesi veya söz konusu tutarın takas tarihi itibarıyla müşterinin aracı kurum nezdindeki hesabında bulunmaması durumunda Kredili İşlemler Tebliği'nin 16 ncı maddesi çerçevesinde işlem tesis edilmesi,</w:t>
      </w:r>
    </w:p>
    <w:p w14:paraId="2C4CCC00" w14:textId="77777777" w:rsidR="00E9726F" w:rsidRPr="00F53BF3" w:rsidRDefault="00E9726F" w:rsidP="00E9726F">
      <w:pPr>
        <w:widowControl w:val="0"/>
        <w:spacing w:line="276" w:lineRule="auto"/>
        <w:ind w:left="170" w:right="170"/>
      </w:pPr>
      <w:r w:rsidRPr="00F53BF3">
        <w:t>b) Kredili İşlemler Tebliği'nin 17 nci maddesi uyarınca kredili sermaye piyasası aracı işlemlerinin devamı süresince özkaynak koruma oranının asgari %20 olması,</w:t>
      </w:r>
    </w:p>
    <w:p w14:paraId="193AF8D7" w14:textId="77777777" w:rsidR="00E9726F" w:rsidRPr="00F53BF3" w:rsidRDefault="00E9726F" w:rsidP="00E9726F">
      <w:pPr>
        <w:widowControl w:val="0"/>
        <w:spacing w:line="276" w:lineRule="auto"/>
        <w:ind w:left="170" w:right="170"/>
      </w:pPr>
      <w:r w:rsidRPr="00F53BF3">
        <w:t xml:space="preserve">c) </w:t>
      </w:r>
      <w:r w:rsidRPr="00CE1212">
        <w:rPr>
          <w:b/>
        </w:rPr>
        <w:t xml:space="preserve">(Değişik </w:t>
      </w:r>
      <w:r>
        <w:rPr>
          <w:b/>
        </w:rPr>
        <w:t>fıkra</w:t>
      </w:r>
      <w:r w:rsidRPr="00CE1212">
        <w:rPr>
          <w:b/>
        </w:rPr>
        <w:t>: Sermaye Piyasası Kurulu’nun 06/04/2023 Tarih ve 22/453 Sayılı Kararı Uyarınca Yapılan Duyuru)</w:t>
      </w:r>
      <w:r>
        <w:t xml:space="preserve"> </w:t>
      </w:r>
      <w:r w:rsidRPr="00F53BF3">
        <w:t xml:space="preserve">Kredili İşlemler Tebliği'nin 18 nci maddesi uyarınca kredili olarak alınan ve/veya özkaynak olarak verilen sermaye piyasası araçlarını satarak krediyi kapatma yetkisi ve özkaynak tamamlama bildirimi gönderilmiş müşterinin hiçbir alım emrinin, bildirim </w:t>
      </w:r>
      <w:r w:rsidRPr="00F53BF3">
        <w:lastRenderedPageBreak/>
        <w:t>gününden özkaynak tamamlanıncaya kadar geçecek süre boyunca yerine getirilmemesi,</w:t>
      </w:r>
    </w:p>
    <w:p w14:paraId="0669059C" w14:textId="77777777" w:rsidR="00E9726F" w:rsidRPr="00F53BF3" w:rsidRDefault="00E9726F" w:rsidP="00E9726F">
      <w:pPr>
        <w:widowControl w:val="0"/>
        <w:spacing w:line="276" w:lineRule="auto"/>
        <w:ind w:left="170" w:right="170"/>
      </w:pPr>
      <w:r w:rsidRPr="00F53BF3">
        <w:t>hususlarındaki hükümlerin, aracı kurumların kendi risk politikalarına uygun düştüğü ölçüde ve müşteri taleplerini de olabildiğince gözeterek, 30.06.2023 tarihine kadar esnek bir şekilde uygulanabilmesine,</w:t>
      </w:r>
    </w:p>
    <w:p w14:paraId="0608D950" w14:textId="77777777" w:rsidR="00E9726F" w:rsidRPr="00F53BF3" w:rsidRDefault="00E9726F" w:rsidP="00E9726F">
      <w:pPr>
        <w:widowControl w:val="0"/>
        <w:spacing w:line="276" w:lineRule="auto"/>
        <w:ind w:left="170" w:right="170"/>
      </w:pPr>
      <w:r w:rsidRPr="00F53BF3">
        <w:t>6) 4632 sayılı Bireysel Emeklilik Tasarruf ve Yatırım Sistemi Kanunu ve bu Kanun’a dayanılarak çıkarılan ilgili mevzuat hükümleri saklı kalmak kaydıyla, müşterilerce yatırım kuruluşlarına devredilecek bireysel emeklilik sözleşmelerinden kaynaklanan devlet katkısı hariç alacakların, Kredili İşlemler Tebliği’nin 12’nci maddesinin birinci fıkrası uyarınca sermaye piyasası araçlarının kredili alımı, açığa satış ve ödünç alma ve verme işlemlerinde özkaynak olarak kabul edilebilecek kıymetler arasına eklenmesine ve bu alacakların %100’ünün özkaynak olarak kabul edilmesine</w:t>
      </w:r>
    </w:p>
    <w:p w14:paraId="1C8588EA" w14:textId="77777777" w:rsidR="00E9726F" w:rsidRPr="00F53BF3" w:rsidRDefault="00E9726F" w:rsidP="00E9726F">
      <w:pPr>
        <w:widowControl w:val="0"/>
        <w:spacing w:line="276" w:lineRule="auto"/>
        <w:ind w:left="170" w:right="170"/>
      </w:pPr>
      <w:r w:rsidRPr="00F53BF3">
        <w:t>karar verilmiştir.</w:t>
      </w:r>
    </w:p>
    <w:p w14:paraId="0B960695" w14:textId="77777777" w:rsidR="00A174FE" w:rsidRPr="00E9726F" w:rsidRDefault="00A174FE" w:rsidP="00E9726F"/>
    <w:sectPr w:rsidR="00A174FE" w:rsidRPr="00E97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CDD40" w14:textId="77777777" w:rsidR="000733FD" w:rsidRDefault="000733FD" w:rsidP="00193C85">
      <w:r>
        <w:separator/>
      </w:r>
    </w:p>
  </w:endnote>
  <w:endnote w:type="continuationSeparator" w:id="0">
    <w:p w14:paraId="4F7CFC4F" w14:textId="77777777" w:rsidR="000733FD" w:rsidRDefault="000733FD" w:rsidP="0019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EB45" w14:textId="01A3C49C" w:rsidR="00193C85" w:rsidRPr="00E9726F" w:rsidRDefault="00E9726F" w:rsidP="00E9726F">
    <w:pPr>
      <w:pStyle w:val="AltBilgi"/>
    </w:pPr>
    <w:r>
      <w:rPr>
        <w:bCs/>
        <w:lang w:eastAsia="tr-TR"/>
      </w:rPr>
      <w:fldChar w:fldCharType="begin" w:fldLock="1"/>
    </w:r>
    <w:r>
      <w:rPr>
        <w:bCs/>
        <w:lang w:eastAsia="tr-TR"/>
      </w:rPr>
      <w:instrText xml:space="preserve"> DOCPROPERTY bjFooterEvenPageDocProperty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3911" w14:textId="69900CBA" w:rsidR="00193C85" w:rsidRPr="00E9726F" w:rsidRDefault="00E9726F" w:rsidP="00E9726F">
    <w:pPr>
      <w:pStyle w:val="AltBilgi"/>
    </w:pPr>
    <w:r>
      <w:rPr>
        <w:bCs/>
        <w:lang w:eastAsia="tr-TR"/>
      </w:rPr>
      <w:fldChar w:fldCharType="begin" w:fldLock="1"/>
    </w:r>
    <w:r>
      <w:rPr>
        <w:bCs/>
        <w:lang w:eastAsia="tr-TR"/>
      </w:rPr>
      <w:instrText xml:space="preserve"> DOCPROPERTY bjFooterBothDocProperty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F612" w14:textId="3732E233" w:rsidR="00193C85" w:rsidRPr="00E9726F" w:rsidRDefault="00E9726F" w:rsidP="00E9726F">
    <w:pPr>
      <w:pStyle w:val="AltBilgi"/>
    </w:pPr>
    <w:r>
      <w:rPr>
        <w:bCs/>
        <w:lang w:eastAsia="tr-TR"/>
      </w:rPr>
      <w:fldChar w:fldCharType="begin" w:fldLock="1"/>
    </w:r>
    <w:r>
      <w:rPr>
        <w:bCs/>
        <w:lang w:eastAsia="tr-TR"/>
      </w:rPr>
      <w:instrText xml:space="preserve"> DOCPROPERTY bjFooterFirstPageDocProperty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CADE3" w14:textId="77777777" w:rsidR="000733FD" w:rsidRDefault="000733FD" w:rsidP="00193C85">
      <w:r>
        <w:separator/>
      </w:r>
    </w:p>
  </w:footnote>
  <w:footnote w:type="continuationSeparator" w:id="0">
    <w:p w14:paraId="54319340" w14:textId="77777777" w:rsidR="000733FD" w:rsidRDefault="000733FD" w:rsidP="0019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C73CA" w14:textId="77777777" w:rsidR="00193C85" w:rsidRDefault="00193C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D084" w14:textId="77777777" w:rsidR="00193C85" w:rsidRDefault="00193C8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7F71" w14:textId="77777777" w:rsidR="00193C85" w:rsidRDefault="00193C8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A7"/>
    <w:rsid w:val="00033EB7"/>
    <w:rsid w:val="000733FD"/>
    <w:rsid w:val="00193C85"/>
    <w:rsid w:val="0020246B"/>
    <w:rsid w:val="007547D6"/>
    <w:rsid w:val="007D35F6"/>
    <w:rsid w:val="0086304C"/>
    <w:rsid w:val="008701A7"/>
    <w:rsid w:val="00A174FE"/>
    <w:rsid w:val="00BB56DC"/>
    <w:rsid w:val="00C353A7"/>
    <w:rsid w:val="00D3581F"/>
    <w:rsid w:val="00D666F0"/>
    <w:rsid w:val="00E9726F"/>
    <w:rsid w:val="00EC3D68"/>
    <w:rsid w:val="00F149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E1CD5"/>
  <w15:chartTrackingRefBased/>
  <w15:docId w15:val="{890570F2-AA97-44B1-9C57-20929DD7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46B"/>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193C85"/>
    <w:pPr>
      <w:keepNext/>
      <w:widowControl w:val="0"/>
      <w:spacing w:line="276" w:lineRule="auto"/>
      <w:ind w:right="900"/>
      <w:jc w:val="center"/>
      <w:outlineLvl w:val="1"/>
    </w:pPr>
    <w:rPr>
      <w:rFonts w:eastAsia="Cambria"/>
      <w:b/>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93C85"/>
    <w:rPr>
      <w:rFonts w:ascii="Arial" w:eastAsia="Cambria" w:hAnsi="Arial" w:cs="Arial"/>
      <w:b/>
      <w:kern w:val="16"/>
      <w:sz w:val="24"/>
      <w:szCs w:val="24"/>
      <w:lang w:eastAsia="tr-TR"/>
    </w:rPr>
  </w:style>
  <w:style w:type="paragraph" w:styleId="stBilgi">
    <w:name w:val="header"/>
    <w:basedOn w:val="Normal"/>
    <w:link w:val="s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stBilgiChar">
    <w:name w:val="Üst Bilgi Char"/>
    <w:basedOn w:val="VarsaylanParagrafYazTipi"/>
    <w:link w:val="stBilgi"/>
    <w:uiPriority w:val="99"/>
    <w:rsid w:val="00193C85"/>
  </w:style>
  <w:style w:type="paragraph" w:styleId="AltBilgi">
    <w:name w:val="footer"/>
    <w:basedOn w:val="Normal"/>
    <w:link w:val="Al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AltBilgiChar">
    <w:name w:val="Alt Bilgi Char"/>
    <w:basedOn w:val="VarsaylanParagrafYazTipi"/>
    <w:link w:val="AltBilgi"/>
    <w:uiPriority w:val="99"/>
    <w:rsid w:val="00193C85"/>
  </w:style>
  <w:style w:type="table" w:styleId="TabloKlavuzu">
    <w:name w:val="Table Grid"/>
    <w:basedOn w:val="NormalTablo"/>
    <w:uiPriority w:val="39"/>
    <w:rsid w:val="007D35F6"/>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5EB27B21-99EB-4682-900E-A3363887469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4082</Characters>
  <Application>Microsoft Office Word</Application>
  <DocSecurity>0</DocSecurity>
  <Lines>34</Lines>
  <Paragraphs>9</Paragraphs>
  <ScaleCrop>false</ScaleCrop>
  <Company>Emeklilik Gozetim Merkezi</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8</cp:revision>
  <dcterms:created xsi:type="dcterms:W3CDTF">2023-10-12T18:45:00Z</dcterms:created>
  <dcterms:modified xsi:type="dcterms:W3CDTF">2023-10-12T19:29:00Z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8a6ba499-a70b-4802-8760-3c47591788d5</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