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C657F1" w14:textId="77777777" w:rsidR="00193C85" w:rsidRPr="00282749" w:rsidRDefault="00193C85" w:rsidP="00193C85">
      <w:pPr>
        <w:pStyle w:val="Balk2"/>
      </w:pPr>
      <w:bookmarkStart w:id="0" w:name="_Toc147751782"/>
      <w:r w:rsidRPr="00282749">
        <w:t xml:space="preserve">SERMAYE PİYASASI KURULU’NUN </w:t>
      </w:r>
      <w:r>
        <w:t>11</w:t>
      </w:r>
      <w:r w:rsidRPr="00282749">
        <w:t>/0</w:t>
      </w:r>
      <w:r>
        <w:t>7</w:t>
      </w:r>
      <w:r w:rsidRPr="00282749">
        <w:t>/20</w:t>
      </w:r>
      <w:r>
        <w:t>0</w:t>
      </w:r>
      <w:r w:rsidRPr="00282749">
        <w:t xml:space="preserve">3 TARİH ve </w:t>
      </w:r>
      <w:r>
        <w:t>36</w:t>
      </w:r>
      <w:r w:rsidRPr="00282749">
        <w:t>/</w:t>
      </w:r>
      <w:r>
        <w:t>852</w:t>
      </w:r>
      <w:r w:rsidRPr="00282749">
        <w:t xml:space="preserve"> SAYILI KURUL KARARI</w:t>
      </w:r>
      <w:bookmarkEnd w:id="0"/>
    </w:p>
    <w:p w14:paraId="0B286E21" w14:textId="3496F78C" w:rsidR="00193C85" w:rsidRDefault="00193C85" w:rsidP="00193C85">
      <w:pPr>
        <w:spacing w:after="0"/>
      </w:pPr>
    </w:p>
    <w:p w14:paraId="1EA3758D" w14:textId="77777777" w:rsidR="00193C85" w:rsidRDefault="00193C85" w:rsidP="00193C85">
      <w:pPr>
        <w:spacing w:after="0"/>
      </w:pPr>
      <w:bookmarkStart w:id="1" w:name="_GoBack"/>
      <w:bookmarkEnd w:id="1"/>
    </w:p>
    <w:p w14:paraId="29159698" w14:textId="77777777" w:rsidR="00193C85" w:rsidRPr="00193C85" w:rsidRDefault="00193C85" w:rsidP="00193C85">
      <w:pPr>
        <w:widowControl w:val="0"/>
        <w:spacing w:after="0" w:line="276" w:lineRule="auto"/>
        <w:ind w:right="170"/>
        <w:jc w:val="both"/>
        <w:rPr>
          <w:rFonts w:ascii="Arial" w:hAnsi="Arial" w:cs="Arial"/>
          <w:b/>
          <w:color w:val="000000"/>
          <w:kern w:val="16"/>
          <w:sz w:val="20"/>
          <w:szCs w:val="20"/>
        </w:rPr>
      </w:pPr>
      <w:r w:rsidRPr="00193C85">
        <w:rPr>
          <w:rFonts w:ascii="Arial" w:hAnsi="Arial" w:cs="Arial"/>
          <w:b/>
          <w:color w:val="000000"/>
          <w:kern w:val="16"/>
          <w:sz w:val="20"/>
          <w:szCs w:val="20"/>
        </w:rPr>
        <w:t>No: 36/852</w:t>
      </w:r>
    </w:p>
    <w:p w14:paraId="3C3F1E4F" w14:textId="77777777" w:rsidR="00193C85" w:rsidRPr="00193C85" w:rsidRDefault="00193C85" w:rsidP="00193C85">
      <w:pPr>
        <w:widowControl w:val="0"/>
        <w:spacing w:after="0" w:line="276" w:lineRule="auto"/>
        <w:ind w:right="170"/>
        <w:jc w:val="both"/>
        <w:rPr>
          <w:rFonts w:ascii="Arial" w:hAnsi="Arial" w:cs="Arial"/>
          <w:b/>
          <w:color w:val="000000"/>
          <w:kern w:val="16"/>
          <w:sz w:val="20"/>
          <w:szCs w:val="20"/>
        </w:rPr>
      </w:pPr>
      <w:r w:rsidRPr="00193C85">
        <w:rPr>
          <w:rFonts w:ascii="Arial" w:hAnsi="Arial" w:cs="Arial"/>
          <w:b/>
          <w:color w:val="000000"/>
          <w:kern w:val="16"/>
          <w:sz w:val="20"/>
          <w:szCs w:val="20"/>
        </w:rPr>
        <w:t>Kabul ve Yürürlüğe Giriş Tarihi: 11.07.2003</w:t>
      </w:r>
    </w:p>
    <w:p w14:paraId="65C2DFBE" w14:textId="77777777" w:rsidR="00193C85" w:rsidRDefault="00193C85" w:rsidP="00193C85">
      <w:pPr>
        <w:spacing w:after="0"/>
        <w:rPr>
          <w:b/>
        </w:rPr>
      </w:pPr>
    </w:p>
    <w:p w14:paraId="000E6CDF" w14:textId="77777777" w:rsidR="00193C85" w:rsidRPr="00193C85" w:rsidRDefault="00193C85" w:rsidP="00193C85">
      <w:pPr>
        <w:widowControl w:val="0"/>
        <w:spacing w:after="0" w:line="276" w:lineRule="auto"/>
        <w:ind w:right="170"/>
        <w:jc w:val="both"/>
        <w:rPr>
          <w:rFonts w:ascii="Arial" w:hAnsi="Arial" w:cs="Arial"/>
          <w:b/>
          <w:color w:val="000000"/>
          <w:kern w:val="16"/>
          <w:sz w:val="20"/>
          <w:szCs w:val="20"/>
        </w:rPr>
      </w:pPr>
      <w:r w:rsidRPr="00193C85">
        <w:rPr>
          <w:rFonts w:ascii="Arial" w:hAnsi="Arial" w:cs="Arial"/>
          <w:b/>
          <w:color w:val="000000"/>
          <w:kern w:val="16"/>
          <w:sz w:val="20"/>
          <w:szCs w:val="20"/>
        </w:rPr>
        <w:t>GRUP EMEKLİLİK YATIRIM FONLARINA İLİŞKİN AÇIKLAMA</w:t>
      </w:r>
    </w:p>
    <w:p w14:paraId="44734941" w14:textId="77777777" w:rsidR="00193C85" w:rsidRPr="00193C85" w:rsidRDefault="00193C85" w:rsidP="00193C85">
      <w:pPr>
        <w:widowControl w:val="0"/>
        <w:spacing w:after="0" w:line="276" w:lineRule="auto"/>
        <w:ind w:right="170"/>
        <w:jc w:val="both"/>
        <w:rPr>
          <w:rFonts w:ascii="Arial" w:hAnsi="Arial" w:cs="Arial"/>
          <w:color w:val="000000"/>
          <w:kern w:val="16"/>
          <w:sz w:val="20"/>
          <w:szCs w:val="20"/>
        </w:rPr>
      </w:pPr>
      <w:r w:rsidRPr="00193C85">
        <w:rPr>
          <w:rFonts w:ascii="Arial" w:hAnsi="Arial" w:cs="Arial"/>
          <w:color w:val="000000"/>
          <w:kern w:val="16"/>
          <w:sz w:val="20"/>
          <w:szCs w:val="20"/>
        </w:rPr>
        <w:t>Emeklilik şirketleri tarafından kurulacak emeklilik yatırım fonlarında; Emeklilik Yatırım Fonlarının Kuruluş ve Faaliyetlerine İlişkin Esaslar Hakkında Yönetmelik’in 22. maddesi uyarınca, portföyün devamlı olarak asgari %30 oranında (ters repo dahil) devlet iç borçlanma senetlerine (DİBS) yatırılması ve azami %15 olan yabancı menkul kıymet yatırımı sınırının aşılmaması koşuluyla, belirli bir gruba yönelik olarak sadece bir (1) adet grup emeklilik yatırım fonu kurulması ve grup içindeki bireylerin katkılarının tamamının bu fona aktarılması mümkündür. Ancak bu tür fonların portföylerinde DİBS’lerin %30 oranının altına düşmesi ya da yabancı menkul kıymetler oranının %15’i aşması halinde, Yönetmelik’in 21. maddesindeki 30 günlük süre yerine, portföyün 2 işgünü içerisinde Yönetmelik’in 22. maddesinde belirtilen sınırlara çekilmesi gerekmektedir.</w:t>
      </w:r>
    </w:p>
    <w:p w14:paraId="0B960695" w14:textId="77777777" w:rsidR="00A174FE" w:rsidRDefault="00A174FE"/>
    <w:sectPr w:rsidR="00A174F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FCC79F" w14:textId="77777777" w:rsidR="00F14974" w:rsidRDefault="00F14974" w:rsidP="00193C85">
      <w:pPr>
        <w:spacing w:after="0" w:line="240" w:lineRule="auto"/>
      </w:pPr>
      <w:r>
        <w:separator/>
      </w:r>
    </w:p>
  </w:endnote>
  <w:endnote w:type="continuationSeparator" w:id="0">
    <w:p w14:paraId="515D2212" w14:textId="77777777" w:rsidR="00F14974" w:rsidRDefault="00F14974" w:rsidP="00193C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1EB45" w14:textId="312148E5" w:rsidR="00193C85" w:rsidRPr="00193C85" w:rsidRDefault="00193C85" w:rsidP="00193C85">
    <w:pPr>
      <w:pStyle w:val="AltBilgi"/>
    </w:pPr>
    <w:r>
      <w:rPr>
        <w:bCs/>
        <w:lang w:eastAsia="tr-TR"/>
      </w:rPr>
      <w:fldChar w:fldCharType="begin" w:fldLock="1"/>
    </w:r>
    <w:r>
      <w:rPr>
        <w:bCs/>
        <w:lang w:eastAsia="tr-TR"/>
      </w:rPr>
      <w:instrText xml:space="preserve"> DOCPROPERTY bjFooterEvenPageDocProperty \* MERGEFORMAT </w:instrText>
    </w:r>
    <w:r>
      <w:rPr>
        <w:bCs/>
        <w:lang w:eastAsia="tr-TR"/>
      </w:rPr>
      <w:fldChar w:fldCharType="separate"/>
    </w:r>
    <w:r w:rsidRPr="009F0B16">
      <w:rPr>
        <w:rFonts w:ascii="Malgun Gothic" w:eastAsia="Malgun Gothic" w:hAnsi="Malgun Gothic"/>
        <w:b/>
        <w:color w:val="999999"/>
        <w:lang w:eastAsia="tr-TR"/>
      </w:rPr>
      <w:t>Sınıflandırma|</w:t>
    </w:r>
    <w:r w:rsidRPr="009F0B16">
      <w:rPr>
        <w:rFonts w:ascii="Malgun Gothic" w:eastAsia="Malgun Gothic" w:hAnsi="Malgun Gothic"/>
        <w:b/>
        <w:color w:val="339966"/>
        <w:lang w:eastAsia="tr-TR"/>
      </w:rPr>
      <w:t>Genel</w:t>
    </w:r>
    <w:r>
      <w:rPr>
        <w:bCs/>
        <w:lang w:eastAsia="tr-T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F3911" w14:textId="47306210" w:rsidR="00193C85" w:rsidRPr="00193C85" w:rsidRDefault="00193C85" w:rsidP="00193C85">
    <w:pPr>
      <w:pStyle w:val="AltBilgi"/>
    </w:pPr>
    <w:r>
      <w:rPr>
        <w:bCs/>
        <w:lang w:eastAsia="tr-TR"/>
      </w:rPr>
      <w:fldChar w:fldCharType="begin" w:fldLock="1"/>
    </w:r>
    <w:r>
      <w:rPr>
        <w:bCs/>
        <w:lang w:eastAsia="tr-TR"/>
      </w:rPr>
      <w:instrText xml:space="preserve"> DOCPROPERTY bjFooterBothDocProperty \* MERGEFORMAT </w:instrText>
    </w:r>
    <w:r>
      <w:rPr>
        <w:bCs/>
        <w:lang w:eastAsia="tr-TR"/>
      </w:rPr>
      <w:fldChar w:fldCharType="separate"/>
    </w:r>
    <w:r w:rsidRPr="009F0B16">
      <w:rPr>
        <w:rFonts w:ascii="Malgun Gothic" w:eastAsia="Malgun Gothic" w:hAnsi="Malgun Gothic"/>
        <w:b/>
        <w:color w:val="999999"/>
        <w:lang w:eastAsia="tr-TR"/>
      </w:rPr>
      <w:t>Sınıflandırma|</w:t>
    </w:r>
    <w:r w:rsidRPr="009F0B16">
      <w:rPr>
        <w:rFonts w:ascii="Malgun Gothic" w:eastAsia="Malgun Gothic" w:hAnsi="Malgun Gothic"/>
        <w:b/>
        <w:color w:val="339966"/>
        <w:lang w:eastAsia="tr-TR"/>
      </w:rPr>
      <w:t>Genel</w:t>
    </w:r>
    <w:r>
      <w:rPr>
        <w:bCs/>
        <w:lang w:eastAsia="tr-T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DF612" w14:textId="6CE25E8A" w:rsidR="00193C85" w:rsidRPr="00193C85" w:rsidRDefault="00193C85" w:rsidP="00193C85">
    <w:pPr>
      <w:pStyle w:val="AltBilgi"/>
    </w:pPr>
    <w:r>
      <w:rPr>
        <w:bCs/>
        <w:lang w:eastAsia="tr-TR"/>
      </w:rPr>
      <w:fldChar w:fldCharType="begin" w:fldLock="1"/>
    </w:r>
    <w:r>
      <w:rPr>
        <w:bCs/>
        <w:lang w:eastAsia="tr-TR"/>
      </w:rPr>
      <w:instrText xml:space="preserve"> DOCPROPERTY bjFooterFirstPageDocProperty \* MERGEFORMAT </w:instrText>
    </w:r>
    <w:r>
      <w:rPr>
        <w:bCs/>
        <w:lang w:eastAsia="tr-TR"/>
      </w:rPr>
      <w:fldChar w:fldCharType="separate"/>
    </w:r>
    <w:r w:rsidRPr="009F0B16">
      <w:rPr>
        <w:rFonts w:ascii="Malgun Gothic" w:eastAsia="Malgun Gothic" w:hAnsi="Malgun Gothic"/>
        <w:b/>
        <w:color w:val="999999"/>
        <w:lang w:eastAsia="tr-TR"/>
      </w:rPr>
      <w:t>Sınıflandırma|</w:t>
    </w:r>
    <w:r w:rsidRPr="009F0B16">
      <w:rPr>
        <w:rFonts w:ascii="Malgun Gothic" w:eastAsia="Malgun Gothic" w:hAnsi="Malgun Gothic"/>
        <w:b/>
        <w:color w:val="339966"/>
        <w:lang w:eastAsia="tr-TR"/>
      </w:rPr>
      <w:t>Genel</w:t>
    </w:r>
    <w:r>
      <w:rPr>
        <w:bCs/>
        <w:lang w:eastAsia="tr-T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EED784" w14:textId="77777777" w:rsidR="00F14974" w:rsidRDefault="00F14974" w:rsidP="00193C85">
      <w:pPr>
        <w:spacing w:after="0" w:line="240" w:lineRule="auto"/>
      </w:pPr>
      <w:r>
        <w:separator/>
      </w:r>
    </w:p>
  </w:footnote>
  <w:footnote w:type="continuationSeparator" w:id="0">
    <w:p w14:paraId="636706D4" w14:textId="77777777" w:rsidR="00F14974" w:rsidRDefault="00F14974" w:rsidP="00193C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C73CA" w14:textId="77777777" w:rsidR="00193C85" w:rsidRDefault="00193C8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5D084" w14:textId="77777777" w:rsidR="00193C85" w:rsidRDefault="00193C85">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D7F71" w14:textId="77777777" w:rsidR="00193C85" w:rsidRDefault="00193C85">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1A7"/>
    <w:rsid w:val="00193C85"/>
    <w:rsid w:val="008701A7"/>
    <w:rsid w:val="00A174FE"/>
    <w:rsid w:val="00F149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CE1CD5"/>
  <w15:chartTrackingRefBased/>
  <w15:docId w15:val="{890570F2-AA97-44B1-9C57-20929DD77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2">
    <w:name w:val="heading 2"/>
    <w:basedOn w:val="Normal"/>
    <w:next w:val="Normal"/>
    <w:link w:val="Balk2Char"/>
    <w:autoRedefine/>
    <w:uiPriority w:val="9"/>
    <w:unhideWhenUsed/>
    <w:qFormat/>
    <w:rsid w:val="00193C85"/>
    <w:pPr>
      <w:keepNext/>
      <w:widowControl w:val="0"/>
      <w:spacing w:after="0" w:line="276" w:lineRule="auto"/>
      <w:ind w:right="900"/>
      <w:jc w:val="center"/>
      <w:outlineLvl w:val="1"/>
    </w:pPr>
    <w:rPr>
      <w:rFonts w:ascii="Arial" w:eastAsia="Cambria" w:hAnsi="Arial" w:cs="Arial"/>
      <w:b/>
      <w:kern w:val="16"/>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193C85"/>
    <w:rPr>
      <w:rFonts w:ascii="Arial" w:eastAsia="Cambria" w:hAnsi="Arial" w:cs="Arial"/>
      <w:b/>
      <w:kern w:val="16"/>
      <w:sz w:val="24"/>
      <w:szCs w:val="24"/>
      <w:lang w:eastAsia="tr-TR"/>
    </w:rPr>
  </w:style>
  <w:style w:type="paragraph" w:styleId="stBilgi">
    <w:name w:val="header"/>
    <w:basedOn w:val="Normal"/>
    <w:link w:val="stBilgiChar"/>
    <w:uiPriority w:val="99"/>
    <w:unhideWhenUsed/>
    <w:rsid w:val="00193C8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93C85"/>
  </w:style>
  <w:style w:type="paragraph" w:styleId="AltBilgi">
    <w:name w:val="footer"/>
    <w:basedOn w:val="Normal"/>
    <w:link w:val="AltBilgiChar"/>
    <w:uiPriority w:val="99"/>
    <w:unhideWhenUsed/>
    <w:rsid w:val="00193C8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93C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AAFBA300-8A21-453C-87E6-558CE54EE2D0}">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154</Words>
  <Characters>883</Characters>
  <Application>Microsoft Office Word</Application>
  <DocSecurity>0</DocSecurity>
  <Lines>7</Lines>
  <Paragraphs>2</Paragraphs>
  <ScaleCrop>false</ScaleCrop>
  <Company>Emeklilik Gozetim Merkezi</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Bahattin ÖZKAN</cp:lastModifiedBy>
  <cp:revision>2</cp:revision>
  <dcterms:created xsi:type="dcterms:W3CDTF">2023-10-12T18:45:00Z</dcterms:created>
  <dcterms:modified xsi:type="dcterms:W3CDTF">2023-10-12T18:47:00Z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8a6ba499-a70b-4802-8760-3c47591788d5</vt:lpwstr>
  </property>
  <property fmtid="{D5CDD505-2E9C-101B-9397-08002B2CF9AE}" pid="3"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4" name="bjDocumentLabelXML-0">
    <vt:lpwstr>ames.com/2008/01/sie/internal/label"&gt;&lt;element uid="16f479a6-fc80-474c-ab11-d67f073bb2c9" value="" /&gt;&lt;/sisl&gt;</vt:lpwstr>
  </property>
  <property fmtid="{D5CDD505-2E9C-101B-9397-08002B2CF9AE}" pid="5" name="bjDocumentSecurityLabel">
    <vt:lpwstr>Bu iletinin sınıflandırması Genel</vt:lpwstr>
  </property>
  <property fmtid="{D5CDD505-2E9C-101B-9397-08002B2CF9AE}" pid="6" name="bjClsUserRVM">
    <vt:lpwstr>[]</vt:lpwstr>
  </property>
  <property fmtid="{D5CDD505-2E9C-101B-9397-08002B2CF9AE}" pid="7" name="bjFooterBothDocProperty">
    <vt:lpwstr>Sınıflandırma|Genel</vt:lpwstr>
  </property>
  <property fmtid="{D5CDD505-2E9C-101B-9397-08002B2CF9AE}" pid="8" name="bjFooterFirstPageDocProperty">
    <vt:lpwstr>Sınıflandırma|Genel</vt:lpwstr>
  </property>
  <property fmtid="{D5CDD505-2E9C-101B-9397-08002B2CF9AE}" pid="9" name="bjFooterEvenPageDocProperty">
    <vt:lpwstr>Sınıflandırma|Genel</vt:lpwstr>
  </property>
  <property fmtid="{D5CDD505-2E9C-101B-9397-08002B2CF9AE}" pid="10" name="bjSaver">
    <vt:lpwstr>iZryUG4O9W7v4YkSJ4oIH8Eo71bnL+pl</vt:lpwstr>
  </property>
</Properties>
</file>