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64" w:rsidRPr="00790B68" w:rsidRDefault="00EB4064" w:rsidP="00EB4064">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p>
    <w:p w:rsidR="00EB4064" w:rsidRDefault="00EB4064" w:rsidP="003D7FAE">
      <w:pPr>
        <w:spacing w:after="0"/>
      </w:pPr>
    </w:p>
    <w:p w:rsidR="00EB4064" w:rsidRPr="00277508" w:rsidRDefault="00EB4064" w:rsidP="003D7FAE">
      <w:pPr>
        <w:pStyle w:val="Balk2"/>
        <w:spacing w:before="0" w:line="276" w:lineRule="auto"/>
        <w:jc w:val="center"/>
        <w:rPr>
          <w:rFonts w:ascii="Arial" w:hAnsi="Arial" w:cs="Arial"/>
          <w:b/>
          <w:color w:val="auto"/>
          <w:sz w:val="24"/>
          <w:szCs w:val="24"/>
        </w:rPr>
      </w:pPr>
      <w:bookmarkStart w:id="0" w:name="_Toc10203541"/>
      <w:bookmarkStart w:id="1" w:name="_Toc91679083"/>
      <w:bookmarkStart w:id="2" w:name="_Toc105418714"/>
      <w:r w:rsidRPr="00277508">
        <w:rPr>
          <w:rFonts w:ascii="Arial" w:hAnsi="Arial" w:cs="Arial"/>
          <w:b/>
          <w:color w:val="auto"/>
          <w:sz w:val="24"/>
          <w:szCs w:val="24"/>
        </w:rPr>
        <w:t>SEKTÖR</w:t>
      </w:r>
      <w:bookmarkStart w:id="3" w:name="_GoBack"/>
      <w:bookmarkEnd w:id="3"/>
      <w:r w:rsidRPr="00277508">
        <w:rPr>
          <w:rFonts w:ascii="Arial" w:hAnsi="Arial" w:cs="Arial"/>
          <w:b/>
          <w:color w:val="auto"/>
          <w:sz w:val="24"/>
          <w:szCs w:val="24"/>
        </w:rPr>
        <w:t>DEN VERİ TEMİNİNE İLİŞKİN SEKTÖR DUYURUSU (2012/ 4)</w:t>
      </w:r>
      <w:bookmarkEnd w:id="0"/>
      <w:bookmarkEnd w:id="1"/>
      <w:bookmarkEnd w:id="2"/>
    </w:p>
    <w:p w:rsidR="00EB4064" w:rsidRDefault="00EB4064" w:rsidP="003D7FAE">
      <w:pPr>
        <w:spacing w:after="0" w:line="276" w:lineRule="auto"/>
      </w:pPr>
    </w:p>
    <w:p w:rsidR="003D7FAE" w:rsidRPr="00277508" w:rsidRDefault="003D7FAE" w:rsidP="003D7FAE">
      <w:pPr>
        <w:spacing w:after="0" w:line="276" w:lineRule="auto"/>
      </w:pPr>
    </w:p>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Bilindiği üzere, 5684 sayılı Sigortacılık Kanunu ve 4632 sayılı Bireysel Emeklilik Tasarruf ve Yatırım Sistemi Kanunu ile diğer kanunların özel sigortacılık ve bireysel emeklilikle ilgili hükümleri kapsamında her türlü özel sigortacılık ve bireysel emeklilik faaliyetlerinin ve işlemlerinin kamu adına gözetim ve denetimi Hazine Müsteşarlığı tarafından gerçekleştirilmektedir.</w:t>
      </w:r>
    </w:p>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 xml:space="preserve">Müsteşarlığımız tarafından sigortacılık ve bireysel emeklilik faaliyetleri hakkında yıllık raporların hazırlanması, şirketlerin mali bünyelerine ilişkin finansal analizlerin yapılması ve risk alanlarının tespit edilerek gözetim planı ve denetim programlarının oluşturulması ile sigortalılara karşı yükümlülüklerinin ifasının takip edilmesi amacıyla sigorta, reasürans ve emeklilik şirketlerinden belirli dönem ve tarihler itibariyle veriler istenmektedir. </w:t>
      </w:r>
    </w:p>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Müsteşarlığımız Sigorta Denetleme Kurulu ve Sigortacılık Genel Müdürlüğü tarafından farklı format ve içerikte istenen veriler, sigortacılık ve özel emeklilik sektörlerinin gözetim ve izleme faaliyetlerinde yeknesaklığın sağlanması ve bu faaliyetlerin yürütülmesinde sektöre getirilen yükün azaltılmasını teminen,31.12.2011 tarihi itibarıyla geçerli olmak üzere, Sigortacılık Gözetim Sistemi (SGS) üzerinden ortak formatta ve tek elden talep edilecek olup, gözetim ve denetimle yetkili birimler tarafından ortak veri havuzu kullanılarak aynı bilgi işlem sistemi üzerinden değerlendirme yapılacaktır.</w:t>
      </w:r>
    </w:p>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Müsteşarlığımız tarafından şirketlerden belirli aralıklarda düzenli olarak talep edilecek söz konusu veriler sekiz ayrı dosyada toplanarak aşağıdaki şekilde isimlendirilmiş olup, gönderim sırasında belirtilen tarihte Sigortacılık Gözetim Sistemi Portalına yüklenmesi ve elektronik ortamda imzalanması gerekmektedir.</w:t>
      </w:r>
    </w:p>
    <w:p w:rsidR="00EB4064" w:rsidRPr="003D7FAE" w:rsidRDefault="00EB4064" w:rsidP="003D7FAE">
      <w:pPr>
        <w:spacing w:after="0" w:line="276" w:lineRule="auto"/>
        <w:ind w:left="170"/>
        <w:rPr>
          <w:rFonts w:ascii="Arial" w:hAnsi="Arial" w:cs="Arial"/>
          <w:color w:val="000000"/>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2551"/>
      </w:tblGrid>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Tablo No</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Tablo Adı</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Frekans</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10</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Mali</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 aylık</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20</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Konsolide</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 aylık</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30</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Reasürans</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 aylık</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35</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Temel Veriler</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6 aylık</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40</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Aracı</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 aylık</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50</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Hasar</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 aylık</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57</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AZMM</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3 aylık</w:t>
            </w:r>
          </w:p>
        </w:tc>
      </w:tr>
      <w:tr w:rsidR="00EB4064" w:rsidRPr="003D7FAE" w:rsidTr="001876B8">
        <w:tc>
          <w:tcPr>
            <w:tcW w:w="1809"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70</w:t>
            </w:r>
          </w:p>
        </w:tc>
        <w:tc>
          <w:tcPr>
            <w:tcW w:w="2410"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Aylık</w:t>
            </w:r>
          </w:p>
        </w:tc>
        <w:tc>
          <w:tcPr>
            <w:tcW w:w="2551" w:type="dxa"/>
            <w:shd w:val="clear" w:color="auto" w:fill="auto"/>
          </w:tcPr>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Aylık</w:t>
            </w:r>
          </w:p>
        </w:tc>
      </w:tr>
    </w:tbl>
    <w:p w:rsidR="00EB4064" w:rsidRPr="003D7FAE" w:rsidRDefault="00EB4064" w:rsidP="003D7FAE">
      <w:pPr>
        <w:spacing w:after="0" w:line="276" w:lineRule="auto"/>
        <w:ind w:left="170"/>
        <w:rPr>
          <w:rFonts w:ascii="Arial" w:hAnsi="Arial" w:cs="Arial"/>
          <w:color w:val="000000"/>
          <w:sz w:val="20"/>
          <w:szCs w:val="20"/>
        </w:rPr>
      </w:pPr>
    </w:p>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Müsteşarlık ayrıca, yukarıda belirtilen tablolar dışında özel amaca yönelik olarak hazırlanacak tabloları elektronik ortamda şirketlerden talep edebilecektir. Ayrıca, tablolar ile ilgili sorulara telefon ile yanıt verilmeyecek olupsoru ve görüşlerin sgsveri@hazine.gov.tr adresine iletilmesi gerekmektedir.</w:t>
      </w:r>
    </w:p>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İstenen veriler şirketlere ilişkin gözetim faaliyetinin sağlıklı bir biçimde yerine getirilmesinde ve denetim programlarının hazırlanmasında dikkate alınacağından veri dosyalarının, şirketlerin portalına gönderilmiş olan Kılavuzda yer alan açıklamalar doğrultusunda ve doğru bir şekilde doldurulması önem arz etmektedir.</w:t>
      </w:r>
    </w:p>
    <w:p w:rsidR="00EB4064" w:rsidRPr="003D7FAE" w:rsidRDefault="00EB4064" w:rsidP="003D7FAE">
      <w:pPr>
        <w:spacing w:after="0" w:line="276" w:lineRule="auto"/>
        <w:ind w:left="170"/>
        <w:rPr>
          <w:rFonts w:ascii="Arial" w:hAnsi="Arial" w:cs="Arial"/>
          <w:color w:val="000000"/>
          <w:sz w:val="20"/>
          <w:szCs w:val="20"/>
        </w:rPr>
      </w:pPr>
      <w:r w:rsidRPr="003D7FAE">
        <w:rPr>
          <w:rFonts w:ascii="Arial" w:hAnsi="Arial" w:cs="Arial"/>
          <w:color w:val="000000"/>
          <w:sz w:val="20"/>
          <w:szCs w:val="20"/>
        </w:rPr>
        <w:t>Söz konusu tabloların zamanında gönderilmemesi veya yanlış ve yanıltıcı olması 5684 sayılı Kanunun 18 inci ve 4632 sayılı Kanunun 23’üncü maddesinin ihlali anlamına geleceğinden ilgililer hakkında cezai sorumluluk doğuracaktır.</w:t>
      </w:r>
    </w:p>
    <w:p w:rsidR="00EB4064" w:rsidRDefault="00EB4064" w:rsidP="00EB4064">
      <w:pPr>
        <w:tabs>
          <w:tab w:val="left" w:pos="284"/>
        </w:tabs>
        <w:spacing w:after="0"/>
        <w:ind w:firstLine="709"/>
        <w:rPr>
          <w:rFonts w:ascii="Arial" w:hAnsi="Arial" w:cs="Arial"/>
          <w:sz w:val="20"/>
          <w:szCs w:val="20"/>
        </w:rPr>
      </w:pPr>
    </w:p>
    <w:tbl>
      <w:tblPr>
        <w:tblStyle w:val="TabloKlavuzu"/>
        <w:tblpPr w:leftFromText="141" w:rightFromText="141" w:vertAnchor="text" w:horzAnchor="margin" w:tblpY="130"/>
        <w:tblW w:w="0" w:type="auto"/>
        <w:tblInd w:w="0" w:type="dxa"/>
        <w:tblLook w:val="04A0" w:firstRow="1" w:lastRow="0" w:firstColumn="1" w:lastColumn="0" w:noHBand="0" w:noVBand="1"/>
      </w:tblPr>
      <w:tblGrid>
        <w:gridCol w:w="3016"/>
        <w:gridCol w:w="3019"/>
        <w:gridCol w:w="2462"/>
      </w:tblGrid>
      <w:tr w:rsidR="00EB4064" w:rsidTr="001876B8">
        <w:trPr>
          <w:trHeight w:val="289"/>
        </w:trPr>
        <w:tc>
          <w:tcPr>
            <w:tcW w:w="8497" w:type="dxa"/>
            <w:gridSpan w:val="3"/>
          </w:tcPr>
          <w:p w:rsidR="00EB4064" w:rsidRPr="00730EB1" w:rsidRDefault="00EB4064" w:rsidP="001876B8">
            <w:pPr>
              <w:jc w:val="center"/>
              <w:rPr>
                <w:b/>
                <w:sz w:val="20"/>
              </w:rPr>
            </w:pPr>
            <w:r w:rsidRPr="00730EB1">
              <w:rPr>
                <w:b/>
                <w:sz w:val="20"/>
              </w:rPr>
              <w:t>Sektör Duyurusu’nun</w:t>
            </w:r>
          </w:p>
        </w:tc>
      </w:tr>
      <w:tr w:rsidR="00EB4064" w:rsidTr="001876B8">
        <w:trPr>
          <w:trHeight w:val="289"/>
        </w:trPr>
        <w:tc>
          <w:tcPr>
            <w:tcW w:w="3016" w:type="dxa"/>
          </w:tcPr>
          <w:p w:rsidR="00EB4064" w:rsidRPr="00730EB1" w:rsidRDefault="00EB4064" w:rsidP="001876B8">
            <w:pPr>
              <w:jc w:val="center"/>
              <w:rPr>
                <w:b/>
                <w:sz w:val="20"/>
              </w:rPr>
            </w:pPr>
            <w:r w:rsidRPr="00730EB1">
              <w:rPr>
                <w:b/>
                <w:sz w:val="20"/>
              </w:rPr>
              <w:t>Numarası</w:t>
            </w:r>
          </w:p>
        </w:tc>
        <w:tc>
          <w:tcPr>
            <w:tcW w:w="3019" w:type="dxa"/>
          </w:tcPr>
          <w:p w:rsidR="00EB4064" w:rsidRPr="00730EB1" w:rsidRDefault="00EB4064" w:rsidP="001876B8">
            <w:pPr>
              <w:jc w:val="center"/>
              <w:rPr>
                <w:b/>
                <w:sz w:val="20"/>
              </w:rPr>
            </w:pPr>
            <w:r w:rsidRPr="00730EB1">
              <w:rPr>
                <w:b/>
                <w:sz w:val="20"/>
              </w:rPr>
              <w:t>Kabul Tarihi</w:t>
            </w:r>
          </w:p>
        </w:tc>
        <w:tc>
          <w:tcPr>
            <w:tcW w:w="2462" w:type="dxa"/>
          </w:tcPr>
          <w:p w:rsidR="00EB4064" w:rsidRPr="00730EB1" w:rsidRDefault="00EB4064" w:rsidP="001876B8">
            <w:pPr>
              <w:jc w:val="center"/>
              <w:rPr>
                <w:b/>
                <w:sz w:val="20"/>
              </w:rPr>
            </w:pPr>
            <w:r w:rsidRPr="00730EB1">
              <w:rPr>
                <w:b/>
                <w:sz w:val="20"/>
              </w:rPr>
              <w:t>Yürürlüğe Giriş Tarihi</w:t>
            </w:r>
          </w:p>
        </w:tc>
      </w:tr>
      <w:tr w:rsidR="00EB4064" w:rsidTr="001876B8">
        <w:trPr>
          <w:trHeight w:val="289"/>
        </w:trPr>
        <w:tc>
          <w:tcPr>
            <w:tcW w:w="3016" w:type="dxa"/>
          </w:tcPr>
          <w:p w:rsidR="00EB4064" w:rsidRPr="00730EB1" w:rsidRDefault="00EB4064" w:rsidP="001876B8">
            <w:pPr>
              <w:jc w:val="center"/>
              <w:rPr>
                <w:sz w:val="20"/>
              </w:rPr>
            </w:pPr>
            <w:r w:rsidRPr="00730EB1">
              <w:rPr>
                <w:sz w:val="20"/>
              </w:rPr>
              <w:lastRenderedPageBreak/>
              <w:t>2012/4</w:t>
            </w:r>
          </w:p>
        </w:tc>
        <w:tc>
          <w:tcPr>
            <w:tcW w:w="3019" w:type="dxa"/>
          </w:tcPr>
          <w:p w:rsidR="00EB4064" w:rsidRPr="00730EB1" w:rsidRDefault="00EB4064" w:rsidP="001876B8">
            <w:pPr>
              <w:jc w:val="center"/>
              <w:rPr>
                <w:sz w:val="20"/>
              </w:rPr>
            </w:pPr>
            <w:r w:rsidRPr="00730EB1">
              <w:rPr>
                <w:sz w:val="20"/>
              </w:rPr>
              <w:t>13.02.2012</w:t>
            </w:r>
          </w:p>
        </w:tc>
        <w:tc>
          <w:tcPr>
            <w:tcW w:w="2462" w:type="dxa"/>
          </w:tcPr>
          <w:p w:rsidR="00EB4064" w:rsidRPr="00730EB1" w:rsidRDefault="00EB4064" w:rsidP="001876B8">
            <w:pPr>
              <w:jc w:val="center"/>
              <w:rPr>
                <w:sz w:val="20"/>
              </w:rPr>
            </w:pPr>
            <w:r w:rsidRPr="00730EB1">
              <w:rPr>
                <w:sz w:val="20"/>
              </w:rPr>
              <w:t>13.02.2012</w:t>
            </w:r>
          </w:p>
        </w:tc>
      </w:tr>
    </w:tbl>
    <w:p w:rsidR="00EB4064" w:rsidRDefault="00EB4064" w:rsidP="00EB4064">
      <w:pPr>
        <w:tabs>
          <w:tab w:val="left" w:pos="284"/>
        </w:tabs>
        <w:spacing w:after="0"/>
        <w:ind w:firstLine="709"/>
        <w:rPr>
          <w:rFonts w:ascii="Arial" w:hAnsi="Arial" w:cs="Arial"/>
          <w:sz w:val="20"/>
          <w:szCs w:val="20"/>
        </w:rPr>
      </w:pPr>
    </w:p>
    <w:p w:rsidR="00831137" w:rsidRDefault="00831137"/>
    <w:sectPr w:rsidR="008311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64" w:rsidRDefault="00EB4064" w:rsidP="00EB4064">
      <w:pPr>
        <w:spacing w:after="0" w:line="240" w:lineRule="auto"/>
      </w:pPr>
      <w:r>
        <w:separator/>
      </w:r>
    </w:p>
  </w:endnote>
  <w:endnote w:type="continuationSeparator" w:id="0">
    <w:p w:rsidR="00EB4064" w:rsidRDefault="00EB4064" w:rsidP="00EB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64" w:rsidRPr="003D7FAE" w:rsidRDefault="003D7FAE" w:rsidP="003D7FAE">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64" w:rsidRPr="003D7FAE" w:rsidRDefault="003D7FAE" w:rsidP="003D7FAE">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64" w:rsidRPr="003D7FAE" w:rsidRDefault="003D7FAE" w:rsidP="003D7FAE">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64" w:rsidRDefault="00EB4064" w:rsidP="00EB4064">
      <w:pPr>
        <w:spacing w:after="0" w:line="240" w:lineRule="auto"/>
      </w:pPr>
      <w:r>
        <w:separator/>
      </w:r>
    </w:p>
  </w:footnote>
  <w:footnote w:type="continuationSeparator" w:id="0">
    <w:p w:rsidR="00EB4064" w:rsidRDefault="00EB4064" w:rsidP="00EB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64" w:rsidRDefault="00EB40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64" w:rsidRDefault="00EB40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64" w:rsidRDefault="00EB40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11"/>
    <w:rsid w:val="00037B11"/>
    <w:rsid w:val="00230376"/>
    <w:rsid w:val="003D7FAE"/>
    <w:rsid w:val="004B16D4"/>
    <w:rsid w:val="00831137"/>
    <w:rsid w:val="00EB40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E934C"/>
  <w15:chartTrackingRefBased/>
  <w15:docId w15:val="{4EAEA063-7A3E-4040-9247-CA12161E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064"/>
  </w:style>
  <w:style w:type="paragraph" w:styleId="Balk2">
    <w:name w:val="heading 2"/>
    <w:basedOn w:val="Normal"/>
    <w:next w:val="Normal"/>
    <w:link w:val="Balk2Char"/>
    <w:uiPriority w:val="9"/>
    <w:unhideWhenUsed/>
    <w:qFormat/>
    <w:rsid w:val="00EB40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B4064"/>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EB4064"/>
  </w:style>
  <w:style w:type="character" w:customStyle="1" w:styleId="document-info-label">
    <w:name w:val="document-info-label"/>
    <w:rsid w:val="00EB4064"/>
  </w:style>
  <w:style w:type="table" w:styleId="TabloKlavuzu">
    <w:name w:val="Table Grid"/>
    <w:basedOn w:val="NormalTablo"/>
    <w:uiPriority w:val="59"/>
    <w:rsid w:val="00EB4064"/>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EB40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4064"/>
  </w:style>
  <w:style w:type="paragraph" w:styleId="AltBilgi">
    <w:name w:val="footer"/>
    <w:basedOn w:val="Normal"/>
    <w:link w:val="AltBilgiChar"/>
    <w:uiPriority w:val="99"/>
    <w:unhideWhenUsed/>
    <w:rsid w:val="00EB40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7A17F03-B42B-415E-8EAF-CD43A39727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2554</Characters>
  <Application>Microsoft Office Word</Application>
  <DocSecurity>0</DocSecurity>
  <Lines>21</Lines>
  <Paragraphs>5</Paragraphs>
  <ScaleCrop>false</ScaleCrop>
  <Company>EGM</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2022-12-16T07:07:00Z</dcterms:created>
  <dcterms:modified xsi:type="dcterms:W3CDTF">2023-01-09T13:39:00Z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0f8c52eb-3fad-4e6a-af30-931ac929207d</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