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F1C" w:rsidRPr="00C665C3" w:rsidRDefault="00242F1C" w:rsidP="00790A4F">
      <w:pPr>
        <w:jc w:val="center"/>
      </w:pPr>
      <w:r w:rsidRPr="00C665C3">
        <w:rPr>
          <w:rFonts w:ascii="Arial" w:eastAsia="Cambria" w:hAnsi="Arial" w:cs="Arial"/>
          <w:b/>
          <w:bCs/>
          <w:kern w:val="16"/>
          <w:sz w:val="24"/>
          <w:szCs w:val="24"/>
          <w:lang w:eastAsia="tr-TR"/>
        </w:rPr>
        <w:t>SERMAYE PİYASASI KURULU’NUN</w:t>
      </w:r>
      <w:r w:rsidRPr="00C665C3">
        <w:t xml:space="preserve"> </w:t>
      </w:r>
      <w:r w:rsidRPr="00C665C3">
        <w:rPr>
          <w:rFonts w:ascii="Arial" w:eastAsia="Cambria" w:hAnsi="Arial" w:cs="Arial"/>
          <w:b/>
          <w:bCs/>
          <w:kern w:val="16"/>
          <w:sz w:val="24"/>
          <w:szCs w:val="24"/>
          <w:lang w:eastAsia="tr-TR"/>
        </w:rPr>
        <w:t>24.09.</w:t>
      </w:r>
      <w:r w:rsidR="00902B9C" w:rsidRPr="00C665C3">
        <w:rPr>
          <w:rFonts w:ascii="Arial" w:eastAsia="Cambria" w:hAnsi="Arial" w:cs="Arial"/>
          <w:b/>
          <w:bCs/>
          <w:kern w:val="16"/>
          <w:sz w:val="24"/>
          <w:szCs w:val="24"/>
          <w:lang w:eastAsia="tr-TR"/>
        </w:rPr>
        <w:t>2020 TARİH VE 60/1183 SAYILI KURUL KARARI</w:t>
      </w:r>
    </w:p>
    <w:p w:rsidR="00242F1C" w:rsidRDefault="00242F1C" w:rsidP="00790A4F">
      <w:pPr>
        <w:spacing w:after="0" w:line="276" w:lineRule="auto"/>
      </w:pPr>
    </w:p>
    <w:p w:rsidR="00790A4F" w:rsidRPr="0098089C" w:rsidRDefault="00790A4F" w:rsidP="00790A4F">
      <w:pPr>
        <w:spacing w:after="0" w:line="276" w:lineRule="auto"/>
      </w:pPr>
    </w:p>
    <w:p w:rsidR="00242F1C" w:rsidRPr="00790A4F" w:rsidRDefault="00242F1C" w:rsidP="00790A4F">
      <w:pPr>
        <w:widowControl w:val="0"/>
        <w:spacing w:after="0" w:line="276" w:lineRule="auto"/>
        <w:ind w:left="170" w:right="170"/>
        <w:jc w:val="both"/>
        <w:rPr>
          <w:rFonts w:ascii="Arial" w:hAnsi="Arial" w:cs="Arial"/>
          <w:b/>
          <w:noProof w:val="0"/>
          <w:color w:val="000000"/>
          <w:kern w:val="16"/>
          <w:sz w:val="20"/>
          <w:szCs w:val="20"/>
        </w:rPr>
      </w:pPr>
      <w:r w:rsidRPr="00790A4F">
        <w:rPr>
          <w:rFonts w:ascii="Arial" w:hAnsi="Arial" w:cs="Arial"/>
          <w:b/>
          <w:noProof w:val="0"/>
          <w:color w:val="000000"/>
          <w:kern w:val="16"/>
          <w:sz w:val="20"/>
          <w:szCs w:val="20"/>
        </w:rPr>
        <w:t xml:space="preserve">Yatırım Fonları ve Emeklilik Yatırım Fonlarına İlişkin 24.09.2020 tarih ve 60/1183 Sayılı İlke Kararı </w:t>
      </w:r>
    </w:p>
    <w:p w:rsidR="00242F1C" w:rsidRPr="00790A4F" w:rsidRDefault="00242F1C" w:rsidP="00790A4F">
      <w:pPr>
        <w:widowControl w:val="0"/>
        <w:spacing w:after="0" w:line="276" w:lineRule="auto"/>
        <w:ind w:left="170" w:right="170"/>
        <w:jc w:val="both"/>
        <w:rPr>
          <w:rFonts w:ascii="Arial" w:hAnsi="Arial" w:cs="Arial"/>
          <w:noProof w:val="0"/>
          <w:color w:val="000000"/>
          <w:kern w:val="16"/>
          <w:sz w:val="20"/>
          <w:szCs w:val="20"/>
        </w:rPr>
      </w:pPr>
      <w:r w:rsidRPr="00790A4F">
        <w:rPr>
          <w:rFonts w:ascii="Arial" w:hAnsi="Arial" w:cs="Arial"/>
          <w:noProof w:val="0"/>
          <w:color w:val="000000"/>
          <w:kern w:val="16"/>
          <w:sz w:val="20"/>
          <w:szCs w:val="20"/>
        </w:rPr>
        <w:t xml:space="preserve">Kurul’un 24.09.2020 tarih ve 60/1183 sayılı İlke Kararı ile Yatırım Fonlarına İlişkin Rehber ile Emeklilik Yatırım Fonlarına İlişkin Rehber’e “Unvanında Katılım İfadesi Geçen Fonlara İlişkin Esaslar”ın eklenmesine karar verilmiştir: </w:t>
      </w:r>
    </w:p>
    <w:p w:rsidR="00242F1C" w:rsidRPr="00790A4F" w:rsidRDefault="00242F1C" w:rsidP="00790A4F">
      <w:pPr>
        <w:widowControl w:val="0"/>
        <w:spacing w:after="0" w:line="276" w:lineRule="auto"/>
        <w:ind w:left="170" w:right="170"/>
        <w:jc w:val="both"/>
        <w:rPr>
          <w:rFonts w:ascii="Arial" w:hAnsi="Arial" w:cs="Arial"/>
          <w:noProof w:val="0"/>
          <w:color w:val="000000"/>
          <w:kern w:val="16"/>
          <w:sz w:val="20"/>
          <w:szCs w:val="20"/>
        </w:rPr>
      </w:pPr>
      <w:r w:rsidRPr="00790A4F">
        <w:rPr>
          <w:rFonts w:ascii="Arial" w:hAnsi="Arial" w:cs="Arial"/>
          <w:noProof w:val="0"/>
          <w:color w:val="000000"/>
          <w:kern w:val="16"/>
          <w:sz w:val="20"/>
          <w:szCs w:val="20"/>
        </w:rPr>
        <w:t>“Unvanında katılım ifadesi geçen fonların portföylerine dahil edilecek ortaklık paylarının faizsiz/katılım finans ilkelerine uygunluğu onaylanmış olan endekslerde (örneğin Borsa İstanbul A.Ş. tarafından hesaplanan Katılım 30 Endeksi, Katılım 50 Endeksi ve Ziraat Portföy Katılım Endeksi) yer alan ortaklık paylarından seçilmesi ve/veya faizsiz/ katılım finans ilkelerine uygunluğunun bir danışman/danışma kurulu tarafından onaylanmış olması zorunludur. Unvanında katılım ifadesi geçen fonların po</w:t>
      </w:r>
      <w:bookmarkStart w:id="0" w:name="_GoBack"/>
      <w:bookmarkEnd w:id="0"/>
      <w:r w:rsidRPr="00790A4F">
        <w:rPr>
          <w:rFonts w:ascii="Arial" w:hAnsi="Arial" w:cs="Arial"/>
          <w:noProof w:val="0"/>
          <w:color w:val="000000"/>
          <w:kern w:val="16"/>
          <w:sz w:val="20"/>
          <w:szCs w:val="20"/>
        </w:rPr>
        <w:t>rtföylerine dahil edilecek kira sertifikaları, katılma hesapları, altın ve diğer kıymetli madenler ile vaad sözleşmeleri haricindeki para ve sermaye piyasası araçları için de söz konusu şartın sağlanması esastır. Söz konusu fonlar için bir danışman/danışma kurulundan hizmet alınması halinde, fon izahnamesinin ekinde veya fonun KAP sayfasında danışmanın kim olduğuna/danışma kurulunun kimlerden oluştuğuna, danışmanın/danışma kurulu üyelerinin faizsiz/katılım finans alanındaki bilgi ve tecrübesine ilişkin bilgiler ile danışmanın/danışma kurulunun çalışma ilkelerine (örneğin faizsiz/katılım finans ilkelerine uygunluk değerlendirmesi yapılırken esas alınan yöntemlere ilişkin bilgiler) yer verilir. Unvanında katılım ifadesi geçen fonların izahnamelerinde gerekli açıklamalara yer verilmesi suretiyle “kaldıraç yaratan işlem riski” yerine “katılım esaslı işlem riski” ifadesine yer verilmesi mümkündür.”</w:t>
      </w:r>
    </w:p>
    <w:p w:rsidR="00596871" w:rsidRDefault="00596871"/>
    <w:sectPr w:rsidR="005968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F1C" w:rsidRDefault="00242F1C" w:rsidP="00242F1C">
      <w:pPr>
        <w:spacing w:after="0" w:line="240" w:lineRule="auto"/>
      </w:pPr>
      <w:r>
        <w:separator/>
      </w:r>
    </w:p>
  </w:endnote>
  <w:endnote w:type="continuationSeparator" w:id="0">
    <w:p w:rsidR="00242F1C" w:rsidRDefault="00242F1C" w:rsidP="0024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F1C" w:rsidRPr="00790A4F" w:rsidRDefault="00790A4F" w:rsidP="00790A4F">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F1C" w:rsidRPr="00790A4F" w:rsidRDefault="00790A4F" w:rsidP="00790A4F">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F1C" w:rsidRPr="00790A4F" w:rsidRDefault="00790A4F" w:rsidP="00790A4F">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F1C" w:rsidRDefault="00242F1C" w:rsidP="00242F1C">
      <w:pPr>
        <w:spacing w:after="0" w:line="240" w:lineRule="auto"/>
      </w:pPr>
      <w:r>
        <w:separator/>
      </w:r>
    </w:p>
  </w:footnote>
  <w:footnote w:type="continuationSeparator" w:id="0">
    <w:p w:rsidR="00242F1C" w:rsidRDefault="00242F1C" w:rsidP="00242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F1C" w:rsidRDefault="00242F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F1C" w:rsidRDefault="00242F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F1C" w:rsidRDefault="00242F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1C"/>
    <w:rsid w:val="00242F1C"/>
    <w:rsid w:val="00596871"/>
    <w:rsid w:val="00790A4F"/>
    <w:rsid w:val="00902B9C"/>
    <w:rsid w:val="00B35A07"/>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7C6994"/>
  <w15:chartTrackingRefBased/>
  <w15:docId w15:val="{2B72AD76-28EA-46D3-BA97-09C81541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F1C"/>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242F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2F1C"/>
    <w:rPr>
      <w:noProof/>
    </w:rPr>
  </w:style>
  <w:style w:type="paragraph" w:styleId="AltBilgi">
    <w:name w:val="footer"/>
    <w:basedOn w:val="Normal"/>
    <w:link w:val="AltBilgiChar"/>
    <w:uiPriority w:val="99"/>
    <w:unhideWhenUsed/>
    <w:rsid w:val="00242F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2F1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952F45CF-7B0E-4278-8490-45D7C1DC47D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3</cp:revision>
  <dcterms:created xsi:type="dcterms:W3CDTF">2022-12-09T14:54:00Z</dcterms:created>
  <dcterms:modified xsi:type="dcterms:W3CDTF">2023-02-22T09:16:00Z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1d3f55e0-16c3-4247-82ad-339c7b452ac0</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