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ACD" w:rsidRPr="00AA5288" w:rsidRDefault="00A94ACD" w:rsidP="00AA5288">
      <w:pPr>
        <w:pStyle w:val="Balk2"/>
        <w:spacing w:before="0"/>
        <w:jc w:val="center"/>
        <w:rPr>
          <w:rFonts w:ascii="Arial" w:hAnsi="Arial" w:cs="Arial"/>
          <w:sz w:val="24"/>
          <w:szCs w:val="24"/>
        </w:rPr>
      </w:pPr>
      <w:bookmarkStart w:id="0" w:name="_Toc10203490"/>
      <w:bookmarkStart w:id="1" w:name="_Toc38613096"/>
      <w:bookmarkStart w:id="2" w:name="_Toc41216846"/>
      <w:bookmarkStart w:id="3" w:name="_Toc116026645"/>
      <w:r w:rsidRPr="00AA5288">
        <w:rPr>
          <w:rFonts w:ascii="Arial" w:hAnsi="Arial" w:cs="Arial"/>
          <w:sz w:val="24"/>
          <w:szCs w:val="24"/>
        </w:rPr>
        <w:t>SERMAYE PİYASASI KURULUNUN 23.11.2018 TARİH VE 58/1355 SAYILI İLKE KARARI</w:t>
      </w:r>
      <w:bookmarkEnd w:id="0"/>
      <w:bookmarkEnd w:id="1"/>
      <w:bookmarkEnd w:id="2"/>
      <w:bookmarkEnd w:id="3"/>
    </w:p>
    <w:p w:rsidR="00A94ACD" w:rsidRDefault="00A94ACD" w:rsidP="00AA5288">
      <w:pPr>
        <w:spacing w:after="0" w:line="276" w:lineRule="auto"/>
        <w:jc w:val="both"/>
        <w:rPr>
          <w:rFonts w:eastAsia="Calibri"/>
        </w:rPr>
      </w:pPr>
    </w:p>
    <w:p w:rsidR="00AA5288" w:rsidRPr="00C665C3" w:rsidRDefault="00AA5288" w:rsidP="00AA5288">
      <w:pPr>
        <w:spacing w:after="0" w:line="276" w:lineRule="auto"/>
        <w:jc w:val="both"/>
        <w:rPr>
          <w:rFonts w:eastAsia="Calibri"/>
        </w:rPr>
      </w:pPr>
    </w:p>
    <w:p w:rsidR="00A94ACD" w:rsidRPr="00AA5288" w:rsidRDefault="00AA5288" w:rsidP="00AA5288">
      <w:pPr>
        <w:widowControl w:val="0"/>
        <w:spacing w:after="0" w:line="276" w:lineRule="auto"/>
        <w:ind w:left="170" w:right="170"/>
        <w:jc w:val="both"/>
        <w:rPr>
          <w:rFonts w:ascii="Arial" w:hAnsi="Arial" w:cs="Arial"/>
          <w:noProof w:val="0"/>
          <w:color w:val="000000"/>
          <w:kern w:val="16"/>
          <w:sz w:val="20"/>
          <w:szCs w:val="20"/>
        </w:rPr>
      </w:pPr>
      <w:r>
        <w:rPr>
          <w:rFonts w:ascii="Arial" w:hAnsi="Arial" w:cs="Arial"/>
          <w:noProof w:val="0"/>
          <w:color w:val="000000"/>
          <w:kern w:val="16"/>
          <w:sz w:val="20"/>
          <w:szCs w:val="20"/>
        </w:rPr>
        <w:t xml:space="preserve">1. </w:t>
      </w:r>
      <w:r w:rsidR="00A94ACD" w:rsidRPr="00AA5288">
        <w:rPr>
          <w:rFonts w:ascii="Arial" w:hAnsi="Arial" w:cs="Arial"/>
          <w:b/>
          <w:noProof w:val="0"/>
          <w:color w:val="000000"/>
          <w:kern w:val="16"/>
          <w:sz w:val="20"/>
          <w:szCs w:val="20"/>
        </w:rPr>
        <w:t>Kurul Karar Organının i-SPK.4632 s.kn.17.3.ğ (23.11.2018 tarihli ve 58/1355 s.k.) sayılı İlke Kararı:</w:t>
      </w:r>
      <w:bookmarkStart w:id="4" w:name="_GoBack"/>
      <w:bookmarkEnd w:id="4"/>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Kurul’un 23.11.2018 tarih ve 58/1355 sayılı toplantısında, Kurulumuzun i-SPK.4632 s.kn.17.3 (03.03.2016 tarih ve 7/223 s.k.) sayılı İlke Kararı olarak kabul edilmiş olan “Emeklilik Yatırım Fonlarına İlişkin Rehber”in;</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“1. Fon Türleri” başlıklı maddesinin (J) bendinin aşağıdaki şekilde değiştirilmesine ve anılan maddeye (L) ve (M) bentleri olarak aşağıdaki hükümlerin eklenmesine,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“J. Standart Fon: Bakanlık düzenlemeleri uyarınca, sisteme giriş aşamasında herhangi bir fon tercihinde bulunmayan katılımcıların birikimlerinin yatırıma yönlendirildiği fondur.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Başlangıç Fonu: İşverenleri aracılığıyla Kanun’un Ek-2 nci ve Geçici 2 nci maddesi kapsamında bireysel emeklilik sistemine dahil edilen çalışanların birikimlerinin Bakanlık düzenlemeleri uyarınca yatırıma yönlendirildiği fon5.2dur.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OKS Standart Fon: İşverenleri aracılığıyla Kanun’un Ek-2 nci ve Geçici 2 nci maddesi kapsamında bireysel emeklilik sistemine dahil edilen çalışanların birikimlerinin Bakanlık düzenlemeleri uyarınca yatırıma yönlendirildiği standart fondur.”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“1.2. Fon Unvanına İlişkin Esaslar” başlıklı maddesinin (k) bendinin aşağıdaki şekilde değiştirilmesine,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“k) Katılım bankacılığı prensiplerine uygun varlıklardan oluşan fonların unvanında, fon türünün yanı sıra “Katılım” ibaresine de yer verilir.”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3.6. nolu madde olarak aşağıdaki ifadelerin eklenmesine,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“3.6. Standart Fonlara İlişkin Esaslar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“Standart fon olarak tanımlanan fon portföyünün;</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Asgari yüzde altmışı, Bakanlıkça ihraç edilen Türk Lirası cinsinden borçlanma araçlarında, gelir ortaklığı senetlerinde veya kira sertifikalarında,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kırkı;</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Türk Lirası cinsinden ve Borsada işlem görmesi kaydıyla bankalar veya yatırım yapılabilir seviyede derecelendirme notuna sahip olan diğer ihraççılar tarafından ihraç edilen borçlanma araçlarında,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Türk Lirası cinsinden Borsada işlem görmesi kaydıyla fon kullanıcısı bankalar olan veya kendisi veya fon kullanıcısı yatırım yapılabilir seviyede derecelendirme notuna sahip olan kira sertifikalarında,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İpotek ve varlık teminatlı menkul kıymetlerde, ipoteğe ve varlığa dayalı menkul kıymetlerde, vaad sözleşmelerinde,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otuzu BIST 100, BIST Sürdürülebilirlik Endeksi ve Borsa İstanbul A.Ş. tarafından hesaplanan katılım endekslerindeki paylarda,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yirmi beşi Türk Lirası cinsinden vadeli mevduatta, katılma hesabında,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ikisi ters repoda ve Takasbank Para Piyasası ve Yurtiçi Organize Para Piyasası İşlemlerinde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Bakanlıkça yapılanlar hariç, tek bir ihraççı tarafından ihraç edilen borçlanma araçlarına ve kira sertifikalarına fon portföyünün yüzde onundan fazlası yatırılamaz.</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Standart fonların portföyüne sadece bu maddede belirtilen varlık ve işlemler dahil edilebilir. Yönetmelik’te ve Rehber’de yer alan ve bu maddede belirtilmeyen diğer portföy sınırlamalarına ilişkin hükümler saklıdır.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Yeni kurulacak bir fonun yahut mevcut kurulmuş fonlardan birinin, yatırım stratejisinin bu maddede belirtilen portföy sınırlamalarına uyması kaydıyla, standart fon olarak belirlenmesi mümkündür.”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3.7. nolu madde olarak aşağıdaki ifadelerin eklenmesine,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“3.7. İşverenleri Aracılığıyla Kanun’un Ek-2 nci ve Geçici 2 nci Maddesi Kapsamında Bireysel Emeklilik Sistemine Dahil Edilen Çalışanlara Sunulan Fonlara İlişkin Esaslar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Başlangıç Fonlarına İlişkin Esaslar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 xml:space="preserve">Başlangıç fonu portföyünün en az yüzde altmışı, Türk Lirası cinsinden mevduat ve/veya katılma </w:t>
      </w:r>
      <w:r w:rsidRPr="00AA5288">
        <w:rPr>
          <w:rFonts w:ascii="Arial" w:hAnsi="Arial" w:cs="Arial"/>
          <w:noProof w:val="0"/>
          <w:color w:val="000000"/>
          <w:kern w:val="16"/>
          <w:sz w:val="20"/>
          <w:szCs w:val="20"/>
        </w:rPr>
        <w:lastRenderedPageBreak/>
        <w:t>hesabında; en az yüzde yirmisi Bakanlıkça ihraç edilen Türk Lirası cinsinden azami 184 gün vadeli ve/veya vadesine azami 184 gün kalmış borçlanma araçlarında, gelir ortaklığı senetleri ve/veya kira sertifikalarında, kalanı azami 184 gün vadeli ters repoda, Takasbank ve/veya yurt içi organize para piyasası işlemlerinde, vaad sözleşmelerinde, azami 184 gün vadeli ve/veya vadesine azami 184 gün kalmış ipotek ve varlık teminatlı menkul kıymetlerde, ipoteğe ve varlığa dayalı menkul kıymetlerde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Başlangıç katılım fonu portföyünün en az yüzde altmışı Türk Lirası cinsinden katılma hesaplarında ve fon kullanıcısı bankalar olan borsada işlem gören Türk Lirası cinsinden azami 184 gün vadeli veya vadesine azami 184 gün kalmış kira sertifikalarında olmak üzere, kalanı azami 184 gün vadeli ve/veya vadesine azami 184 gün kalmış katılım esaslarına uygun ipotek ve varlık teminatlı menkul kıymetlerde, ipoteğe ve varlığa dayalı menkul kıymetlerde, vaad sözleşmelerinde, Türk Lirası cinsinden Bakanlıkça ihraç edilen 184 gün vadeli ve/veya vadesine azami 184 gün kalmış gelir ortaklığı senetleri ve/veya kira sertifikalarında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Başlangıç fonlarının portföyüne sadece bu maddede belirtilen varlık ve işlemler dahil edilebilir. Yönetmelik’te ve Rehber’de yer alan ve bu maddede belirtilmeyen diğer portföy sınırlamalarına ilişkin hükümler saklıdır.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OKS Standart Fonlara İlişkin Esaslar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OKS Standart Fon portföyünün;</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Asgari yüzde ellisi; Bakanlıkça ihraç edilen Türk Lirası cinsinden borçlanma araçlarında, gelir ortaklığı senetlerinde veya kira sertifikalarında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Asgari yüzde onu;</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Girişim sermayesi yatırım fonu katılma paylarında,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Gayrimenkul yatırım fonu katılma paylarında,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Türkiye Varlık Fonu’nda ve/veya altyapı projelerine yatırım amacıyla kurulmuş şirketlerin ihraç ettiği sermaye piyasası araçlarında,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Kurulca uygun görülen diğer sermaye piyasası araçlarında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Girişim sermayesi yatırım fonu katılma paylarında yatırıma yönlendirilen tutar toplam fon portföyünün yüzde birinden az olamaz. Bu şartın 01.01.2019 tarihine kadar sağlanması zorunludur. Türkiye Varlık Fonu için herhangi bir yoğunlaşma sınırı uygulanmaz. Ayrıca, bu madde kapsamındaki sermaye piyasası araçları için borsa ve/veya organize piyasalarda işlem görme şartı aranmaz.</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otuzu;</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Ters repoda, Takasbank ve/veya yurt içi organize para piyasası işlemlerinde,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Türk Lirası cinsinden borsada işlem görmesi kaydıyla bankalar veya yatırım yapılabilir seviyede derecelendirme notuna sahip olan diğer ihraççılar tarafından ihraç edilen borçlanma araçlarında ve niteliği itibari ile borçlanma aracı olduğu Kurulca kabul edilecek sermaye piyasası araçlarında,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Türk Lirası cinsinden ve borsada işlem görmesi kaydıyla fon kullanıcısı bankalar olan veya kendisi veya fon kullanıcısı yatırım yapılabilir seviyede derecelendirme notuna sahip olan kira sertifikalarında,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BIST 100, BIST Sürdürülebilirlik Endeksi ve Borsa İstanbul A.Ş. tarafından hesaplanan katılım endekslerindeki paylarda,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Altın ve diğer kıymetli madenler ile bunlara dayalı sermaye piyasası araçlarında,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Yatırım fonu/borsa yatırım fonu katılma paylarında, yatırım ortaklığı paylarında,</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İpotek ve varlık teminatlı menkul kıymetlerde, ipoteğe ve varlığa dayalı menkul kıymetlerde, aracı kuruluş ve ortaklık varantlarında, vaad sözleşmelerinde,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Kurulca uygun bulunan diğer yatırım araçlarında yatırıma yönlendirilir.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Ters repo ve Takasbank ve/veya yurtiçi organize para piyasası işlemlerinde değerlendirilecek tutar fon portföyünün yüzde ikisini aşamaz.</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Azami yüzde kırkı; Türk Lirası cinsinden vadeli mevduat ve katılma hesabında yatırıma yönlendirilir. Vadeli mevduat ve katılma hesabında yatırıma yönlendirilen tutarın asgari yüzde onunun her hesap açılış tarihi itibariyle altı ay ve daha uzun vadeli olarak açılan hesaplarda değerlendirilmesi gereklidir.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 xml:space="preserve">OKS standart fonların portföyüne sadece bu maddede belirtilen varlık ve işlemler dahil edilebilir. Yönetmelik’te ve Rehber’de yer alan ve bu maddede belirtilmeyen diğer portföy sınırlamalarına </w:t>
      </w:r>
      <w:r w:rsidRPr="00AA5288">
        <w:rPr>
          <w:rFonts w:ascii="Arial" w:hAnsi="Arial" w:cs="Arial"/>
          <w:noProof w:val="0"/>
          <w:color w:val="000000"/>
          <w:kern w:val="16"/>
          <w:sz w:val="20"/>
          <w:szCs w:val="20"/>
        </w:rPr>
        <w:lastRenderedPageBreak/>
        <w:t>ilişkin hükümler saklıdır.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5.2. Nemalandırma başlıklı maddesine (e) bendi olarak aşağıdaki hükmün eklenmesine</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“e) Otomatik katılım sisteminde sunulan faiz içeren değişken fonlar ile standart fonların pay alım talimatlarının gerçekleştirilmesi işlemleri sırasında tahsil edilen tutarların başlangıç fonlarında nemalandırılması esastır.”</w:t>
      </w:r>
    </w:p>
    <w:p w:rsidR="00A94ACD" w:rsidRPr="00AA5288" w:rsidRDefault="00A94ACD" w:rsidP="00AA5288">
      <w:pPr>
        <w:widowControl w:val="0"/>
        <w:spacing w:after="0" w:line="276" w:lineRule="auto"/>
        <w:ind w:left="170" w:right="170"/>
        <w:jc w:val="both"/>
        <w:rPr>
          <w:rFonts w:ascii="Arial" w:hAnsi="Arial" w:cs="Arial"/>
          <w:noProof w:val="0"/>
          <w:color w:val="000000"/>
          <w:kern w:val="16"/>
          <w:sz w:val="20"/>
          <w:szCs w:val="20"/>
        </w:rPr>
      </w:pPr>
      <w:r w:rsidRPr="00AA5288">
        <w:rPr>
          <w:rFonts w:ascii="Arial" w:hAnsi="Arial" w:cs="Arial"/>
          <w:noProof w:val="0"/>
          <w:color w:val="000000"/>
          <w:kern w:val="16"/>
          <w:sz w:val="20"/>
          <w:szCs w:val="20"/>
        </w:rPr>
        <w:t xml:space="preserve">karar verilmiştir. </w:t>
      </w:r>
    </w:p>
    <w:p w:rsidR="00596871" w:rsidRPr="00A94ACD" w:rsidRDefault="00596871" w:rsidP="00A94ACD">
      <w:pPr>
        <w:jc w:val="both"/>
      </w:pPr>
    </w:p>
    <w:sectPr w:rsidR="00596871" w:rsidRPr="00A94A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ACD" w:rsidRDefault="00A94ACD" w:rsidP="00A94ACD">
      <w:pPr>
        <w:spacing w:after="0" w:line="240" w:lineRule="auto"/>
      </w:pPr>
      <w:r>
        <w:separator/>
      </w:r>
    </w:p>
  </w:endnote>
  <w:endnote w:type="continuationSeparator" w:id="0">
    <w:p w:rsidR="00A94ACD" w:rsidRDefault="00A94ACD" w:rsidP="00A9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Pr="00AA5288" w:rsidRDefault="00AA5288" w:rsidP="00AA5288">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Pr="00AA5288" w:rsidRDefault="00AA5288" w:rsidP="00AA5288">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Pr="00AA5288" w:rsidRDefault="00AA5288" w:rsidP="00AA5288">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ACD" w:rsidRDefault="00A94ACD" w:rsidP="00A94ACD">
      <w:pPr>
        <w:spacing w:after="0" w:line="240" w:lineRule="auto"/>
      </w:pPr>
      <w:r>
        <w:separator/>
      </w:r>
    </w:p>
  </w:footnote>
  <w:footnote w:type="continuationSeparator" w:id="0">
    <w:p w:rsidR="00A94ACD" w:rsidRDefault="00A94ACD" w:rsidP="00A9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Default="00A94A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Default="00A94AC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CD" w:rsidRDefault="00A94A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692984"/>
    <w:multiLevelType w:val="hybridMultilevel"/>
    <w:tmpl w:val="F55A4492"/>
    <w:lvl w:ilvl="0" w:tplc="04489D34">
      <w:start w:val="1"/>
      <w:numFmt w:val="upperLetter"/>
      <w:lvlText w:val="%1."/>
      <w:lvlJc w:val="left"/>
      <w:pPr>
        <w:ind w:left="964" w:hanging="286"/>
      </w:pPr>
      <w:rPr>
        <w:rFonts w:ascii="Arial" w:eastAsia="Arial" w:hAnsi="Arial" w:cs="Arial" w:hint="default"/>
        <w:b/>
        <w:bCs/>
        <w:color w:val="FF0000"/>
        <w:spacing w:val="-45"/>
        <w:w w:val="100"/>
        <w:sz w:val="18"/>
        <w:szCs w:val="18"/>
        <w:lang w:val="tr-TR" w:eastAsia="tr-TR" w:bidi="tr-TR"/>
      </w:rPr>
    </w:lvl>
    <w:lvl w:ilvl="1" w:tplc="6ACEC662">
      <w:start w:val="1"/>
      <w:numFmt w:val="decimal"/>
      <w:lvlText w:val="%2."/>
      <w:lvlJc w:val="left"/>
      <w:pPr>
        <w:ind w:left="964" w:hanging="286"/>
      </w:pPr>
      <w:rPr>
        <w:rFonts w:ascii="Arial" w:eastAsia="Arial" w:hAnsi="Arial" w:cs="Arial" w:hint="default"/>
        <w:b/>
        <w:bCs/>
        <w:color w:val="1F487C"/>
        <w:spacing w:val="-16"/>
        <w:w w:val="100"/>
        <w:sz w:val="18"/>
        <w:szCs w:val="18"/>
        <w:lang w:val="tr-TR" w:eastAsia="tr-TR" w:bidi="tr-TR"/>
      </w:rPr>
    </w:lvl>
    <w:lvl w:ilvl="2" w:tplc="3B604634">
      <w:numFmt w:val="bullet"/>
      <w:lvlText w:val="•"/>
      <w:lvlJc w:val="left"/>
      <w:pPr>
        <w:ind w:left="2014" w:hanging="286"/>
      </w:pPr>
      <w:rPr>
        <w:rFonts w:hint="default"/>
        <w:lang w:val="tr-TR" w:eastAsia="tr-TR" w:bidi="tr-TR"/>
      </w:rPr>
    </w:lvl>
    <w:lvl w:ilvl="3" w:tplc="8C2842CE">
      <w:numFmt w:val="bullet"/>
      <w:lvlText w:val="•"/>
      <w:lvlJc w:val="left"/>
      <w:pPr>
        <w:ind w:left="3068" w:hanging="286"/>
      </w:pPr>
      <w:rPr>
        <w:rFonts w:hint="default"/>
        <w:lang w:val="tr-TR" w:eastAsia="tr-TR" w:bidi="tr-TR"/>
      </w:rPr>
    </w:lvl>
    <w:lvl w:ilvl="4" w:tplc="6C6CFAEC">
      <w:numFmt w:val="bullet"/>
      <w:lvlText w:val="•"/>
      <w:lvlJc w:val="left"/>
      <w:pPr>
        <w:ind w:left="4122" w:hanging="286"/>
      </w:pPr>
      <w:rPr>
        <w:rFonts w:hint="default"/>
        <w:lang w:val="tr-TR" w:eastAsia="tr-TR" w:bidi="tr-TR"/>
      </w:rPr>
    </w:lvl>
    <w:lvl w:ilvl="5" w:tplc="FC640A34">
      <w:numFmt w:val="bullet"/>
      <w:lvlText w:val="•"/>
      <w:lvlJc w:val="left"/>
      <w:pPr>
        <w:ind w:left="5176" w:hanging="286"/>
      </w:pPr>
      <w:rPr>
        <w:rFonts w:hint="default"/>
        <w:lang w:val="tr-TR" w:eastAsia="tr-TR" w:bidi="tr-TR"/>
      </w:rPr>
    </w:lvl>
    <w:lvl w:ilvl="6" w:tplc="D320239A">
      <w:numFmt w:val="bullet"/>
      <w:lvlText w:val="•"/>
      <w:lvlJc w:val="left"/>
      <w:pPr>
        <w:ind w:left="6230" w:hanging="286"/>
      </w:pPr>
      <w:rPr>
        <w:rFonts w:hint="default"/>
        <w:lang w:val="tr-TR" w:eastAsia="tr-TR" w:bidi="tr-TR"/>
      </w:rPr>
    </w:lvl>
    <w:lvl w:ilvl="7" w:tplc="4D1CB38A">
      <w:numFmt w:val="bullet"/>
      <w:lvlText w:val="•"/>
      <w:lvlJc w:val="left"/>
      <w:pPr>
        <w:ind w:left="7284" w:hanging="286"/>
      </w:pPr>
      <w:rPr>
        <w:rFonts w:hint="default"/>
        <w:lang w:val="tr-TR" w:eastAsia="tr-TR" w:bidi="tr-TR"/>
      </w:rPr>
    </w:lvl>
    <w:lvl w:ilvl="8" w:tplc="48F69396">
      <w:numFmt w:val="bullet"/>
      <w:lvlText w:val="•"/>
      <w:lvlJc w:val="left"/>
      <w:pPr>
        <w:ind w:left="8338" w:hanging="286"/>
      </w:pPr>
      <w:rPr>
        <w:rFonts w:hint="default"/>
        <w:lang w:val="tr-TR" w:eastAsia="tr-TR" w:bidi="tr-TR"/>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CD"/>
    <w:rsid w:val="00596871"/>
    <w:rsid w:val="00A94ACD"/>
    <w:rsid w:val="00AA5288"/>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2030F"/>
  <w15:chartTrackingRefBased/>
  <w15:docId w15:val="{7039F2D8-D109-42C4-942C-0BC52166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ACD"/>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A94A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4ACD"/>
    <w:rPr>
      <w:noProof/>
    </w:rPr>
  </w:style>
  <w:style w:type="paragraph" w:styleId="AltBilgi">
    <w:name w:val="footer"/>
    <w:basedOn w:val="Normal"/>
    <w:link w:val="AltBilgiChar"/>
    <w:uiPriority w:val="99"/>
    <w:unhideWhenUsed/>
    <w:rsid w:val="00A94A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4ACD"/>
    <w:rPr>
      <w:noProof/>
    </w:rPr>
  </w:style>
  <w:style w:type="character" w:styleId="AklamaBavurusu">
    <w:name w:val="annotation reference"/>
    <w:basedOn w:val="VarsaylanParagrafYazTipi"/>
    <w:uiPriority w:val="99"/>
    <w:rsid w:val="00A94ACD"/>
    <w:rPr>
      <w:sz w:val="16"/>
      <w:szCs w:val="16"/>
    </w:rPr>
  </w:style>
  <w:style w:type="paragraph" w:styleId="BalonMetni">
    <w:name w:val="Balloon Text"/>
    <w:basedOn w:val="Normal"/>
    <w:link w:val="BalonMetniChar"/>
    <w:uiPriority w:val="99"/>
    <w:semiHidden/>
    <w:unhideWhenUsed/>
    <w:rsid w:val="00A94A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4AC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9E979CD-861A-4011-8871-E12353BEE6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2022-12-09T14:13:00Z</dcterms:created>
  <dcterms:modified xsi:type="dcterms:W3CDTF">2023-02-22T09:15:00Z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98dbc1f9-6d9d-43bd-aece-0d1059d766cb</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