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711" w:rsidRPr="001241A1" w:rsidRDefault="00934711" w:rsidP="001241A1">
      <w:pPr>
        <w:pStyle w:val="Balk2"/>
        <w:spacing w:before="0"/>
        <w:jc w:val="center"/>
        <w:rPr>
          <w:rFonts w:ascii="Arial" w:hAnsi="Arial" w:cs="Arial"/>
          <w:sz w:val="24"/>
          <w:szCs w:val="24"/>
        </w:rPr>
      </w:pPr>
      <w:r w:rsidRPr="001241A1">
        <w:rPr>
          <w:rFonts w:ascii="Arial" w:hAnsi="Arial" w:cs="Arial"/>
          <w:sz w:val="24"/>
          <w:szCs w:val="24"/>
        </w:rPr>
        <w:t>SERMAYE PİYASASI KURULUNUN İ- 23.08.2017 TARİHLİ VE 32/1091 SAYILI İLKE KARARI</w:t>
      </w:r>
    </w:p>
    <w:p w:rsidR="00934711" w:rsidRDefault="00934711" w:rsidP="001241A1">
      <w:pPr>
        <w:spacing w:after="0"/>
      </w:pPr>
    </w:p>
    <w:p w:rsidR="001241A1" w:rsidRPr="0098089C" w:rsidRDefault="001241A1" w:rsidP="001241A1">
      <w:pPr>
        <w:spacing w:after="0"/>
      </w:pPr>
    </w:p>
    <w:p w:rsidR="00934711" w:rsidRPr="001241A1" w:rsidRDefault="00934711" w:rsidP="001241A1">
      <w:pPr>
        <w:widowControl w:val="0"/>
        <w:spacing w:after="0" w:line="276" w:lineRule="auto"/>
        <w:ind w:left="170" w:right="170"/>
        <w:jc w:val="both"/>
        <w:rPr>
          <w:rFonts w:ascii="Arial" w:hAnsi="Arial" w:cs="Arial"/>
          <w:noProof w:val="0"/>
          <w:color w:val="000000"/>
          <w:kern w:val="16"/>
          <w:sz w:val="20"/>
          <w:szCs w:val="20"/>
        </w:rPr>
      </w:pPr>
      <w:r w:rsidRPr="001241A1">
        <w:rPr>
          <w:rFonts w:ascii="Arial" w:hAnsi="Arial" w:cs="Arial"/>
          <w:noProof w:val="0"/>
          <w:color w:val="000000"/>
          <w:kern w:val="16"/>
          <w:sz w:val="20"/>
          <w:szCs w:val="20"/>
        </w:rPr>
        <w:t>Kurul’un 23.08.2017 tarih ve 32/1091 sayılı toplantısın</w:t>
      </w:r>
      <w:bookmarkStart w:id="0" w:name="_GoBack"/>
      <w:bookmarkEnd w:id="0"/>
      <w:r w:rsidRPr="001241A1">
        <w:rPr>
          <w:rFonts w:ascii="Arial" w:hAnsi="Arial" w:cs="Arial"/>
          <w:noProof w:val="0"/>
          <w:color w:val="000000"/>
          <w:kern w:val="16"/>
          <w:sz w:val="20"/>
          <w:szCs w:val="20"/>
        </w:rPr>
        <w:t xml:space="preserve">da, Kurulumuzun i-SPK.4632 s.kn.17.3 (03.03.2016 tarih ve 7/223 s.k.) sayılı İlke Kararı olarak kabul edilmiş olan “Emeklilik Yatırım Fonlarına İlişkin Rehber”in “4.1.2. İhraççısı Temerrüde Düşen ya da Borsada İşlem Görmekten Men Edilen Özel Sektör Borçlanma Araçlarına İlişkin Değerleme Esasları” başlıklı maddesine ikinci paragraf olarak aşağıdaki ifadenin eklenmesine karar verilmiştir. “Fon portföyünde yer alan ve yeniden yapılandırılan borçlanma araçları ile ilgili olarak da yukarıdaki esaslar uygulanır.”  </w:t>
      </w:r>
    </w:p>
    <w:p w:rsidR="00596871" w:rsidRDefault="00596871"/>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711" w:rsidRDefault="00934711" w:rsidP="00934711">
      <w:pPr>
        <w:spacing w:after="0" w:line="240" w:lineRule="auto"/>
      </w:pPr>
      <w:r>
        <w:separator/>
      </w:r>
    </w:p>
  </w:endnote>
  <w:endnote w:type="continuationSeparator" w:id="0">
    <w:p w:rsidR="00934711" w:rsidRDefault="00934711" w:rsidP="0093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11" w:rsidRPr="001241A1" w:rsidRDefault="001241A1" w:rsidP="001241A1">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11" w:rsidRPr="001241A1" w:rsidRDefault="001241A1" w:rsidP="001241A1">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11" w:rsidRPr="001241A1" w:rsidRDefault="001241A1" w:rsidP="001241A1">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711" w:rsidRDefault="00934711" w:rsidP="00934711">
      <w:pPr>
        <w:spacing w:after="0" w:line="240" w:lineRule="auto"/>
      </w:pPr>
      <w:r>
        <w:separator/>
      </w:r>
    </w:p>
  </w:footnote>
  <w:footnote w:type="continuationSeparator" w:id="0">
    <w:p w:rsidR="00934711" w:rsidRDefault="00934711" w:rsidP="00934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11" w:rsidRDefault="009347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11" w:rsidRDefault="0093471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11" w:rsidRDefault="009347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711"/>
    <w:rsid w:val="001241A1"/>
    <w:rsid w:val="00596871"/>
    <w:rsid w:val="00857EB4"/>
    <w:rsid w:val="00934711"/>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7D3F0"/>
  <w15:chartTrackingRefBased/>
  <w15:docId w15:val="{1E83AB3F-0E2B-491A-B330-556EFD39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711"/>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9347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4711"/>
    <w:rPr>
      <w:noProof/>
    </w:rPr>
  </w:style>
  <w:style w:type="paragraph" w:styleId="AltBilgi">
    <w:name w:val="footer"/>
    <w:basedOn w:val="Normal"/>
    <w:link w:val="AltBilgiChar"/>
    <w:uiPriority w:val="99"/>
    <w:unhideWhenUsed/>
    <w:rsid w:val="009347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4711"/>
    <w:rPr>
      <w:noProof/>
    </w:rPr>
  </w:style>
  <w:style w:type="paragraph" w:styleId="AklamaMetni">
    <w:name w:val="annotation text"/>
    <w:basedOn w:val="Normal"/>
    <w:link w:val="AklamaMetniChar"/>
    <w:uiPriority w:val="99"/>
    <w:rsid w:val="00934711"/>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934711"/>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934711"/>
    <w:rPr>
      <w:sz w:val="16"/>
      <w:szCs w:val="16"/>
    </w:rPr>
  </w:style>
  <w:style w:type="paragraph" w:styleId="BalonMetni">
    <w:name w:val="Balloon Text"/>
    <w:basedOn w:val="Normal"/>
    <w:link w:val="BalonMetniChar"/>
    <w:uiPriority w:val="99"/>
    <w:semiHidden/>
    <w:unhideWhenUsed/>
    <w:rsid w:val="00934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471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6351F2A-E613-415A-8F3A-A9759353F3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2022-12-09T13:54:00Z</dcterms:created>
  <dcterms:modified xsi:type="dcterms:W3CDTF">2023-02-22T09:14:00Z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55322b9f-17df-452a-98dd-d0c29d147726</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