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B27" w:rsidRDefault="00F02B27" w:rsidP="00E03B19">
      <w:pPr>
        <w:pStyle w:val="Balk2"/>
        <w:spacing w:before="0"/>
        <w:jc w:val="center"/>
        <w:rPr>
          <w:rFonts w:ascii="Arial" w:hAnsi="Arial" w:cs="Arial"/>
          <w:sz w:val="24"/>
          <w:szCs w:val="24"/>
        </w:rPr>
      </w:pPr>
      <w:r w:rsidRPr="00E03B19">
        <w:rPr>
          <w:rFonts w:ascii="Arial" w:hAnsi="Arial" w:cs="Arial"/>
          <w:sz w:val="24"/>
          <w:szCs w:val="24"/>
        </w:rPr>
        <w:t>SERMAYE PİYASASI KURULUNUN 09.05.2017 TARİHLİ VE 20/688 SAYILI İLKE KARARI</w:t>
      </w:r>
    </w:p>
    <w:p w:rsidR="00E03B19" w:rsidRPr="00E03B19" w:rsidRDefault="00E03B19" w:rsidP="00E03B19">
      <w:pPr>
        <w:spacing w:after="0"/>
      </w:pPr>
    </w:p>
    <w:p w:rsidR="00F02B27" w:rsidRPr="0098089C" w:rsidRDefault="00F02B27" w:rsidP="00E03B19">
      <w:pPr>
        <w:spacing w:after="0"/>
        <w:rPr>
          <w:lang w:eastAsia="tr-TR"/>
        </w:rPr>
      </w:pP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Kurul’un 09.05.2017 tarih ve 20/688 sayılı toplantısınd</w:t>
      </w:r>
      <w:bookmarkStart w:id="0" w:name="_GoBack"/>
      <w:bookmarkEnd w:id="0"/>
      <w:r w:rsidRPr="00E03B19">
        <w:rPr>
          <w:rFonts w:ascii="Arial" w:hAnsi="Arial" w:cs="Arial"/>
          <w:noProof w:val="0"/>
          <w:color w:val="000000"/>
          <w:kern w:val="16"/>
          <w:sz w:val="20"/>
          <w:szCs w:val="20"/>
        </w:rPr>
        <w:t xml:space="preserve">a;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Kurulumuzun i-SPK.4632 s.kn.17.3 (03.03.2016 tarih ve 7/223 s.k.) sayılı İlke Kararı olarak kabul edilen “Emeklilik Yatırım Fonlarına İlişkin Rehber’in;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i) 3.1.4. Mevduat/Katılma Hesabına İlişkin Sınırlama başlıklı maddesinin aşağıdaki şekilde değiştirilmesine,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“Yönetmelik’in 22. maddesinin birinci fıkrasının (a) ve (f) bentleri uyarınca yapılacak ihraççı sınırı kontrolünde, aynı ihraççı nezdinde fon adına açılan mevduat/katılma hesapları (TL, altın, döviz vb.) da dikkate alınır. Başlangıç/başlangıç katılım fonları için, söz konusu hükümler kapsamında yapılacak ihraççı sınırı kontrolünde bu fonların portföylerinde yer alan mevduat/katılma hesapları dikkate alınmaz.”</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 ii) 3.1.5. Yurtdışında İhraç Edilen Para ve Sermaye Piyasası Araçları başlıklı maddesine (d) bendi olarak aşağıda yer alan hükmün eklenmesine,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“d) Unvanında “Yabancı” ibaresine yer verilmeyen fonlar tarafından yabancı kamu borçlanma araçlarına aynı ihraç bazında yapılan yatırımlar fon portföyünün %10’unu aşamaz. Unvanında “Yabancı” ibaresine yer verilen fonlar için ise bu oran %35 olarak uygulanır. Yabancı kamu borçlanma araçları Yönetmelik’in 22. maddesinin birinci fıkrasının (a) bendi kapsamında yapılacak ihraççı sınırı kontrollerinde dikkate alınmaz.”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iii) 3.1.8. İlişkili Tarafların İhracına Aracılık Ettiği Özel Sektör Borçlanma Araçlarının Portföye Dahil Edilmesine İlişkin Esaslar başlıklı maddesinin aşağıdaki şekilde değiştirilmesine,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“Bir portföy yönetim şirketinin yöneticisi olduğu tüm emeklilik yatırım fonlarının kurucunun ve/veya yöneticinin Kurulun finansal raporlama standartlarına ilişkin düzenlemeleri kapsamında yer alan grup şirketlerinin ihracına aracılık ettiği özel sektör borçlanma araçlarına yaptığı toplam yatırım, her bir ihraç miktarının %10’unu geçemez. Ayrıca, söz konusu ihraçlardan her bir ihraççı için fon portföylerine dahil edilecek özel sektör borçlanma araçlarının toplam değerinin fon toplam değerine oranı her bir fon için %5’i geçemez.</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Öte yandan;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 Yurtiçinde yerleşik bankaların ihraçlarında,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 Yönetim kontrolü kamu kurum ve kuruluşlarında olan ihraççıların ihraçlarında,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 Bu Rehber’in (3.5.) nolu maddesinde yer alan esaslar çerçevesinde derecelendirme notu yatırım yapılabilir seviyenin ilk iki kademesinde olan ihraççıların ihraçlarında,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 Özel sektör borçlanma araçlarının ihracına aracılık eden grup şirketleri tarafından, anapara ve/veya kupon ödemesinde temerrüde düşülmesi durumunda, söz konusu araçlara ilişkin olarak bu maddede yer alan sınırlamaları aşan kısım için geri alım taahhüdü verilmesi halinde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birinci fıkradaki sınırlamalar uygulanmaz.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İkinci fıkra çerçevesinde taahhüt verilmesi halinde yapılacak geri alımda; özel sektör borçlanma aracının borsada en son işlem gördüğü günkü faiz oranı ile özel sektör borçlanma aracının ihraç anındaki faiz oranından düşük olanı esas alınarak geri alım fiyatı hesaplanır.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Yönetmelik’te yer alan sınırlamalar saklıdır.”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iv) 3.2.5. Borsa Dışında Taraf Olunacak Sözleşmelere İlişkin Esaslar başlıklı maddesine (d) bendi olarak aşağıda yer alan hükmün eklenmesine,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“d) Emeklilik yatırım fonlarının portföyüne, bu maddede yer alan şartların sağlanması ve fon portföy değerinin %10’unu aşmaması kaydıyla vaad sözleşmeleri dahil edilebilir. Sözleşmenin karşı tarafının, yönetim kontrolü kamu kurum ve kuruluşlarına ait olan bir banka olması ve derecelendirme yapılabilmesi için gerekli olan şartların sağlanamaması halinde notun ilk defa alınmasına kadar geçen sürede anılan banka için bu maddenin (a) bendinde yer alan derecelendirme şartı aranmaz.</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 xml:space="preserve">Vaad sözleşmelerinin olası karşı tarafları ile söz konusu tarafların derecelendirme notlarına ilişkin bilgiler emeklilik yatırım fonunun KAP sayfasında açıklanır ve açıklanan bilgilerde değişiklik meydana gelmesi durumunda KAP’ta yapılan bir önceki açıklama güncellenir. Söz konusu </w:t>
      </w:r>
      <w:r w:rsidRPr="00E03B19">
        <w:rPr>
          <w:rFonts w:ascii="Arial" w:hAnsi="Arial" w:cs="Arial"/>
          <w:noProof w:val="0"/>
          <w:color w:val="000000"/>
          <w:kern w:val="16"/>
          <w:sz w:val="20"/>
          <w:szCs w:val="20"/>
        </w:rPr>
        <w:lastRenderedPageBreak/>
        <w:t xml:space="preserve">sözleşmelerin kar payı oranı ve vadesine ilişkin bilgilere altı aylık dönemler itibariyle hazırlanan raporda yer verilir ve bu işlemlere ilişkin bilgi, belgeler sözleşme tarihini müteakip beş yıl süreyle Şirket merkezinde muhafaza edilir. Karşı taraftan alınan vaad sözleşmelerine konu varlıkların ilgili düzenlemeler çerçevesinde emeklilik yatırım fonunun saklama hesaplarında depo edilmesi gerekir.” </w:t>
      </w:r>
    </w:p>
    <w:p w:rsidR="00F02B27" w:rsidRPr="00E03B19" w:rsidRDefault="00F02B27" w:rsidP="00E03B19">
      <w:pPr>
        <w:widowControl w:val="0"/>
        <w:spacing w:after="0" w:line="276" w:lineRule="auto"/>
        <w:ind w:left="170" w:right="170"/>
        <w:jc w:val="both"/>
        <w:rPr>
          <w:rFonts w:ascii="Arial" w:hAnsi="Arial" w:cs="Arial"/>
          <w:noProof w:val="0"/>
          <w:color w:val="000000"/>
          <w:kern w:val="16"/>
          <w:sz w:val="20"/>
          <w:szCs w:val="20"/>
        </w:rPr>
      </w:pPr>
      <w:r w:rsidRPr="00E03B19">
        <w:rPr>
          <w:rFonts w:ascii="Arial" w:hAnsi="Arial" w:cs="Arial"/>
          <w:noProof w:val="0"/>
          <w:color w:val="000000"/>
          <w:kern w:val="16"/>
          <w:sz w:val="20"/>
          <w:szCs w:val="20"/>
        </w:rPr>
        <w:t>karar verilmiştir.</w:t>
      </w:r>
    </w:p>
    <w:p w:rsidR="00596871" w:rsidRDefault="00596871" w:rsidP="00F02B27"/>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B27" w:rsidRDefault="00F02B27" w:rsidP="00F02B27">
      <w:pPr>
        <w:spacing w:after="0" w:line="240" w:lineRule="auto"/>
      </w:pPr>
      <w:r>
        <w:separator/>
      </w:r>
    </w:p>
  </w:endnote>
  <w:endnote w:type="continuationSeparator" w:id="0">
    <w:p w:rsidR="00F02B27" w:rsidRDefault="00F02B27" w:rsidP="00F0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27" w:rsidRPr="00E03B19" w:rsidRDefault="00E03B19" w:rsidP="00E03B19">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27" w:rsidRPr="00E03B19" w:rsidRDefault="00E03B19" w:rsidP="00E03B19">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27" w:rsidRPr="00E03B19" w:rsidRDefault="00E03B19" w:rsidP="00E03B19">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B27" w:rsidRDefault="00F02B27" w:rsidP="00F02B27">
      <w:pPr>
        <w:spacing w:after="0" w:line="240" w:lineRule="auto"/>
      </w:pPr>
      <w:r>
        <w:separator/>
      </w:r>
    </w:p>
  </w:footnote>
  <w:footnote w:type="continuationSeparator" w:id="0">
    <w:p w:rsidR="00F02B27" w:rsidRDefault="00F02B27" w:rsidP="00F02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27" w:rsidRDefault="00F02B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27" w:rsidRDefault="00F02B2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27" w:rsidRDefault="00F02B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27"/>
    <w:rsid w:val="000E36D0"/>
    <w:rsid w:val="00596871"/>
    <w:rsid w:val="00B35A07"/>
    <w:rsid w:val="00E03B19"/>
    <w:rsid w:val="00F02B2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CBCC1"/>
  <w15:chartTrackingRefBased/>
  <w15:docId w15:val="{A7965C57-0CB8-4DF4-9B9E-34686AA1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B27"/>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F02B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2B27"/>
    <w:rPr>
      <w:noProof/>
    </w:rPr>
  </w:style>
  <w:style w:type="paragraph" w:styleId="AltBilgi">
    <w:name w:val="footer"/>
    <w:basedOn w:val="Normal"/>
    <w:link w:val="AltBilgiChar"/>
    <w:uiPriority w:val="99"/>
    <w:unhideWhenUsed/>
    <w:rsid w:val="00F02B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B27"/>
    <w:rPr>
      <w:noProof/>
    </w:rPr>
  </w:style>
  <w:style w:type="paragraph" w:styleId="AklamaMetni">
    <w:name w:val="annotation text"/>
    <w:basedOn w:val="Normal"/>
    <w:link w:val="AklamaMetniChar"/>
    <w:uiPriority w:val="99"/>
    <w:rsid w:val="00F02B27"/>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F02B27"/>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F02B27"/>
    <w:rPr>
      <w:sz w:val="16"/>
      <w:szCs w:val="16"/>
    </w:rPr>
  </w:style>
  <w:style w:type="paragraph" w:styleId="BalonMetni">
    <w:name w:val="Balloon Text"/>
    <w:basedOn w:val="Normal"/>
    <w:link w:val="BalonMetniChar"/>
    <w:uiPriority w:val="99"/>
    <w:semiHidden/>
    <w:unhideWhenUsed/>
    <w:rsid w:val="00F02B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2B2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CF3C6F1-3AF1-4E83-B556-BFCBAB03091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3728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2022-12-09T13:40:00Z</dcterms:created>
  <dcterms:modified xsi:type="dcterms:W3CDTF">2023-02-22T08:44:00Z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2545d6ba-22ca-4211-befd-826907f7a7a3</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