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973" w:rsidRDefault="00733973" w:rsidP="003856F6">
      <w:pPr>
        <w:pStyle w:val="Balk2"/>
        <w:spacing w:before="0"/>
        <w:jc w:val="center"/>
        <w:rPr>
          <w:rFonts w:ascii="Arial" w:hAnsi="Arial" w:cs="Arial"/>
          <w:sz w:val="24"/>
          <w:szCs w:val="24"/>
        </w:rPr>
      </w:pPr>
      <w:bookmarkStart w:id="0" w:name="_Toc128199228"/>
      <w:bookmarkStart w:id="1" w:name="_Toc10203486"/>
      <w:bookmarkStart w:id="2" w:name="_Toc34665010"/>
      <w:bookmarkStart w:id="3" w:name="_Toc38613092"/>
      <w:bookmarkStart w:id="4" w:name="_Toc116026641"/>
      <w:r w:rsidRPr="003856F6">
        <w:rPr>
          <w:rFonts w:ascii="Arial" w:hAnsi="Arial" w:cs="Arial"/>
          <w:sz w:val="24"/>
          <w:szCs w:val="24"/>
        </w:rPr>
        <w:t>SERMAYE PİYA</w:t>
      </w:r>
      <w:bookmarkStart w:id="5" w:name="_GoBack"/>
      <w:bookmarkEnd w:id="5"/>
      <w:r w:rsidRPr="003856F6">
        <w:rPr>
          <w:rFonts w:ascii="Arial" w:hAnsi="Arial" w:cs="Arial"/>
          <w:sz w:val="24"/>
          <w:szCs w:val="24"/>
        </w:rPr>
        <w:t>SASI KURULUNUN 08.09.2017 TARİH VE 33/1110 SAYILI İLKE KARARI</w:t>
      </w:r>
      <w:bookmarkEnd w:id="0"/>
      <w:bookmarkEnd w:id="1"/>
      <w:bookmarkEnd w:id="2"/>
      <w:bookmarkEnd w:id="3"/>
      <w:bookmarkEnd w:id="4"/>
    </w:p>
    <w:p w:rsidR="003856F6" w:rsidRPr="003856F6" w:rsidRDefault="003856F6" w:rsidP="003856F6">
      <w:pPr>
        <w:spacing w:after="0"/>
      </w:pPr>
    </w:p>
    <w:p w:rsidR="00733973" w:rsidRPr="00C665C3" w:rsidRDefault="00733973" w:rsidP="003856F6">
      <w:pPr>
        <w:spacing w:after="0"/>
        <w:rPr>
          <w:b/>
          <w:sz w:val="20"/>
          <w:szCs w:val="20"/>
        </w:rPr>
      </w:pPr>
    </w:p>
    <w:p w:rsidR="006C47A7" w:rsidRPr="003856F6" w:rsidRDefault="00733973" w:rsidP="003856F6">
      <w:pPr>
        <w:widowControl w:val="0"/>
        <w:spacing w:after="0" w:line="276" w:lineRule="auto"/>
        <w:ind w:left="170" w:right="170"/>
        <w:jc w:val="both"/>
        <w:rPr>
          <w:rFonts w:ascii="Arial" w:hAnsi="Arial" w:cs="Arial"/>
          <w:noProof w:val="0"/>
          <w:color w:val="000000"/>
          <w:kern w:val="16"/>
          <w:sz w:val="20"/>
          <w:szCs w:val="20"/>
        </w:rPr>
      </w:pPr>
      <w:r w:rsidRPr="003856F6">
        <w:rPr>
          <w:rFonts w:ascii="Arial" w:hAnsi="Arial" w:cs="Arial"/>
          <w:noProof w:val="0"/>
          <w:color w:val="000000"/>
          <w:kern w:val="16"/>
          <w:sz w:val="20"/>
          <w:szCs w:val="20"/>
        </w:rPr>
        <w:t>Katılımcıların fon tercih ve fon dağılımı değişikliği hakkını bireysel emeklilik sistemi mevzuatı kapsamında portföy yönetim şirketlerine devretmesi halinde bu faaliyete ilişkin olarak;</w:t>
      </w:r>
    </w:p>
    <w:p w:rsidR="006C47A7" w:rsidRPr="003856F6" w:rsidRDefault="00733973" w:rsidP="003856F6">
      <w:pPr>
        <w:widowControl w:val="0"/>
        <w:spacing w:after="0" w:line="276" w:lineRule="auto"/>
        <w:ind w:left="170" w:right="170"/>
        <w:jc w:val="both"/>
        <w:rPr>
          <w:rFonts w:ascii="Arial" w:hAnsi="Arial" w:cs="Arial"/>
          <w:noProof w:val="0"/>
          <w:color w:val="000000"/>
          <w:kern w:val="16"/>
          <w:sz w:val="20"/>
          <w:szCs w:val="20"/>
        </w:rPr>
      </w:pPr>
      <w:r w:rsidRPr="003856F6">
        <w:rPr>
          <w:rFonts w:ascii="Arial" w:hAnsi="Arial" w:cs="Arial"/>
          <w:noProof w:val="0"/>
          <w:color w:val="000000"/>
          <w:kern w:val="16"/>
          <w:sz w:val="20"/>
          <w:szCs w:val="20"/>
        </w:rPr>
        <w:t>a) Bireysel emeklilik sistemi mevzuatı uyarınca emeklilik şirketleri tarafından katılımcılara “risk profil anketi” uygulandığı dikkate alınarak, “risk profil anketi”nin III-37.1 sayılı Yatırım Hizmetleri ve Faaliyetleri ile Yan Hizmetlere İlişkin Esaslar Hakkında Tebliğ’in 40. Maddesinin birinci fıkrası kapsamında uygulanması zorunlu tutulan “yerindelik testi” yerine kabul edilmesine,</w:t>
      </w:r>
    </w:p>
    <w:p w:rsidR="00733973" w:rsidRPr="003856F6" w:rsidRDefault="00733973" w:rsidP="003856F6">
      <w:pPr>
        <w:widowControl w:val="0"/>
        <w:spacing w:after="0" w:line="276" w:lineRule="auto"/>
        <w:ind w:left="170" w:right="170"/>
        <w:jc w:val="both"/>
        <w:rPr>
          <w:rFonts w:ascii="Arial" w:hAnsi="Arial" w:cs="Arial"/>
          <w:noProof w:val="0"/>
          <w:color w:val="000000"/>
          <w:kern w:val="16"/>
          <w:sz w:val="20"/>
          <w:szCs w:val="20"/>
        </w:rPr>
      </w:pPr>
      <w:r w:rsidRPr="003856F6">
        <w:rPr>
          <w:rFonts w:ascii="Arial" w:hAnsi="Arial" w:cs="Arial"/>
          <w:noProof w:val="0"/>
          <w:color w:val="000000"/>
          <w:kern w:val="16"/>
          <w:sz w:val="20"/>
          <w:szCs w:val="20"/>
        </w:rPr>
        <w:t>b) Emeklilik Yatırım Fonlarının Kuruluş ve Faaliyetlerine İlişkin Esaslar Hakkında Yönetmelik’in 29. maddesinin birinci fıkrasının (c) bendi çerçevesinde fon paylarının katılımcı bazında İstanbul Takas ve Saklama Bankası A.Ş. nezdinde tutulduğu dikkate alınarak, III-55.1 sayılı Portföy Yönetim Şirketleri ve Bu Şirketlerin Faaliyetlerine İlişkin Esaslar Tebliği’nin 36. maddesinde yer alan bireysel portföy yöneticiliği hizmeti sunulan kişilerin portföyünde yer alan varlıkların Kurulca yetkilendirilmiş portföy saklayıcıları nezdinde Kurulun yatırım hizmetleri ve faaliyetlerine ilişkin düzenlemeleri çerçevesinde saklanması şartının sağlandığına karar verilmiştir.</w:t>
      </w:r>
    </w:p>
    <w:p w:rsidR="00596871" w:rsidRDefault="00596871" w:rsidP="00733973">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973" w:rsidRDefault="00733973" w:rsidP="00733973">
      <w:pPr>
        <w:spacing w:after="0" w:line="240" w:lineRule="auto"/>
      </w:pPr>
      <w:r>
        <w:separator/>
      </w:r>
    </w:p>
  </w:endnote>
  <w:endnote w:type="continuationSeparator" w:id="0">
    <w:p w:rsidR="00733973" w:rsidRDefault="00733973" w:rsidP="007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Pr="003856F6" w:rsidRDefault="003856F6" w:rsidP="003856F6">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Pr="003856F6" w:rsidRDefault="003856F6" w:rsidP="003856F6">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Pr="003856F6" w:rsidRDefault="003856F6" w:rsidP="003856F6">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973" w:rsidRDefault="00733973" w:rsidP="00733973">
      <w:pPr>
        <w:spacing w:after="0" w:line="240" w:lineRule="auto"/>
      </w:pPr>
      <w:r>
        <w:separator/>
      </w:r>
    </w:p>
  </w:footnote>
  <w:footnote w:type="continuationSeparator" w:id="0">
    <w:p w:rsidR="00733973" w:rsidRDefault="00733973" w:rsidP="007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Default="007339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Default="007339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973" w:rsidRDefault="007339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3"/>
    <w:rsid w:val="003856F6"/>
    <w:rsid w:val="00596871"/>
    <w:rsid w:val="006C47A7"/>
    <w:rsid w:val="00733973"/>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81BDA"/>
  <w15:chartTrackingRefBased/>
  <w15:docId w15:val="{9711AF1E-7360-4F5C-A70C-282BED33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973"/>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7339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3973"/>
    <w:rPr>
      <w:noProof/>
    </w:rPr>
  </w:style>
  <w:style w:type="paragraph" w:styleId="AltBilgi">
    <w:name w:val="footer"/>
    <w:basedOn w:val="Normal"/>
    <w:link w:val="AltBilgiChar"/>
    <w:uiPriority w:val="99"/>
    <w:unhideWhenUsed/>
    <w:rsid w:val="007339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397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6DB0896-7942-4D2D-9BB3-D1AA4242F20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2022-12-09T14:02:00Z</dcterms:created>
  <dcterms:modified xsi:type="dcterms:W3CDTF">2023-02-22T08:43:00Z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92fc0638-e20b-4232-8528-f1bf51612885</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