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AA" w:rsidRPr="005F649D" w:rsidRDefault="002C20AA" w:rsidP="005F649D">
      <w:pPr>
        <w:pStyle w:val="Balk2"/>
        <w:spacing w:before="0"/>
        <w:jc w:val="center"/>
        <w:rPr>
          <w:rFonts w:ascii="Arial" w:hAnsi="Arial" w:cs="Arial"/>
          <w:sz w:val="24"/>
          <w:szCs w:val="24"/>
        </w:rPr>
      </w:pPr>
      <w:bookmarkStart w:id="0" w:name="_Toc10203488"/>
      <w:bookmarkStart w:id="1" w:name="_Toc34665012"/>
      <w:bookmarkStart w:id="2" w:name="_Toc38613094"/>
      <w:bookmarkStart w:id="3" w:name="_Toc41216844"/>
      <w:bookmarkStart w:id="4" w:name="_Toc116026643"/>
      <w:r w:rsidRPr="005F649D">
        <w:rPr>
          <w:rFonts w:ascii="Arial" w:hAnsi="Arial" w:cs="Arial"/>
          <w:sz w:val="24"/>
          <w:szCs w:val="24"/>
        </w:rPr>
        <w:t>SERMAYE PİYASASI KURULUNUN 01.03.2018 TARİH VE 9/316 SAYILI İLKE KARARI</w:t>
      </w:r>
      <w:bookmarkEnd w:id="0"/>
      <w:bookmarkEnd w:id="1"/>
      <w:bookmarkEnd w:id="2"/>
      <w:bookmarkEnd w:id="3"/>
      <w:bookmarkEnd w:id="4"/>
    </w:p>
    <w:p w:rsidR="002C20AA" w:rsidRDefault="002C20AA" w:rsidP="005F649D">
      <w:pPr>
        <w:pStyle w:val="Default"/>
        <w:rPr>
          <w:b/>
          <w:noProof/>
          <w:color w:val="auto"/>
          <w:kern w:val="16"/>
          <w:position w:val="24"/>
          <w:sz w:val="20"/>
          <w:szCs w:val="20"/>
        </w:rPr>
      </w:pPr>
    </w:p>
    <w:p w:rsidR="005F649D" w:rsidRPr="007311BF" w:rsidRDefault="005F649D" w:rsidP="007311BF">
      <w:pPr>
        <w:widowControl w:val="0"/>
        <w:spacing w:after="0" w:line="276" w:lineRule="auto"/>
        <w:ind w:left="170" w:right="170"/>
        <w:jc w:val="both"/>
        <w:rPr>
          <w:rFonts w:ascii="Arial" w:hAnsi="Arial" w:cs="Arial"/>
          <w:noProof w:val="0"/>
          <w:color w:val="000000"/>
          <w:kern w:val="16"/>
          <w:sz w:val="20"/>
          <w:szCs w:val="20"/>
        </w:rPr>
      </w:pPr>
    </w:p>
    <w:p w:rsidR="002C20AA"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Kurul’un 01.03.2018 tarih ve 9/316 sayılı toplantısında, Kurulumuzun i-SPK.4632 s.kn.17.3 (03.03.2016 tarih ve 7/223 s.k.) sayılı İlke Kararı olarak kabul edilmiş olan “Emeklilik Yatırım Fonlarına İlişkin Rehber”in; </w:t>
      </w:r>
    </w:p>
    <w:p w:rsidR="007311BF" w:rsidRPr="007311BF" w:rsidRDefault="007311BF" w:rsidP="007311BF">
      <w:pPr>
        <w:widowControl w:val="0"/>
        <w:spacing w:after="0" w:line="276" w:lineRule="auto"/>
        <w:ind w:left="170" w:right="170"/>
        <w:jc w:val="both"/>
        <w:rPr>
          <w:rFonts w:ascii="Arial" w:hAnsi="Arial" w:cs="Arial"/>
          <w:noProof w:val="0"/>
          <w:color w:val="000000"/>
          <w:kern w:val="16"/>
          <w:sz w:val="20"/>
          <w:szCs w:val="20"/>
        </w:rPr>
      </w:pP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1) i)“4.1.2. İhraççısı Temerrüde Düşen, Borsada İşlem Görmekten Men Edilen veya Yeniden Yapılandırılan Özel Sektör Borçlanma Araçlarına İlişkin Değerleme Esasları” başlıklı maddesinin, madde başlığının “4.1.2. İhraççısı Temerrüde Düşen, Borsada İşlem Görmekten Men Edilen veya Yeniden Yapılandırılan Özel Sektör Borçlanma Araçlarına İlişkin Esaslar” olarak değiştirilmesine, </w:t>
      </w: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ii) Anılan maddede birinci ve ikinci fıkraların (i) bendi olarak değiştirilmesine ve (ii) bendi olarak aşağıdaki hükmün eklenmesine, </w:t>
      </w:r>
    </w:p>
    <w:p w:rsidR="002C20AA"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“ii) Bu madde kapsamına giren borçlanma araçlarının ihraççısının temerrüdünden veya yeniden yapılandırılmasından kaynaklanan her tür harcama Kurucu tarafından karşılanır .” </w:t>
      </w:r>
    </w:p>
    <w:p w:rsidR="007311BF" w:rsidRPr="007311BF" w:rsidRDefault="007311BF" w:rsidP="007311BF">
      <w:pPr>
        <w:widowControl w:val="0"/>
        <w:spacing w:after="0" w:line="276" w:lineRule="auto"/>
        <w:ind w:left="170" w:right="170"/>
        <w:jc w:val="both"/>
        <w:rPr>
          <w:rFonts w:ascii="Arial" w:hAnsi="Arial" w:cs="Arial"/>
          <w:noProof w:val="0"/>
          <w:color w:val="000000"/>
          <w:kern w:val="16"/>
          <w:sz w:val="20"/>
          <w:szCs w:val="20"/>
        </w:rPr>
      </w:pP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2) 6.6.4. nolu “Geriye Dönük Test” başlıklı maddesinin (e) ve (f) bentlerinin aşağıdaki şekilde değiştirilmesine, </w:t>
      </w: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“e) %99 güven aralığında, en yakın tarihli 250 iş gününde gerçekleşen aşım sayısının 5’i aşması halinde, fon kurulu ve yöneticinin üst yönetimi, konuya ilişkin olarak hazırlanan bir rapor ile risk yönetim birimi tarafından aynı gün içinde bilgilendirilir. Böyle bir durumda, kullanılan geriye dönük test modeline ve/veya kullanılan RMD modeline ilişkin gerekli düzeltme ve iyileştirmeler yapılmalı; risk yönetim hizmetinin dışarıdan alındığı durumlarda ise gerekli tedbirlerin alınması sağlanmalıdır. Ayrıca, söz konusu aşımın meydana geldiği tarihi izleyen en geç 5 iş günü içinde Kurul konu hakkında bilgilendirilir ve konuya ilişkin olarak alınmış olan tedbirleri tevsik edici bilgi ve belgeler Kurula gönderilir. </w:t>
      </w:r>
      <w:bookmarkStart w:id="5" w:name="_GoBack"/>
      <w:bookmarkEnd w:id="5"/>
    </w:p>
    <w:p w:rsidR="002C20AA"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f) Kurucu yönetim kurulu veya fon kurulu tarafından, olağandışı piyasa koşullarının varlığı halinde söz konusu piyasa koşullarından kaynaklanan aşımların (d) ve (e) bendi kapsamında dikkate alınmamasına karar verilebilir. Bu durumda, anılan karar ile karara dayanak teşkil eden bilgi ve belgeler kararın alınmasını takip eden en geç 5 iş günü içinde Kurula gönderilir ve Kurucu nezdinde muhafaza edilir.” </w:t>
      </w:r>
    </w:p>
    <w:p w:rsidR="007311BF" w:rsidRPr="007311BF" w:rsidRDefault="007311BF" w:rsidP="007311BF">
      <w:pPr>
        <w:widowControl w:val="0"/>
        <w:spacing w:after="0" w:line="276" w:lineRule="auto"/>
        <w:ind w:left="170" w:right="170"/>
        <w:jc w:val="both"/>
        <w:rPr>
          <w:rFonts w:ascii="Arial" w:hAnsi="Arial" w:cs="Arial"/>
          <w:noProof w:val="0"/>
          <w:color w:val="000000"/>
          <w:kern w:val="16"/>
          <w:sz w:val="20"/>
          <w:szCs w:val="20"/>
        </w:rPr>
      </w:pP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3) “2. Fon Türlerine İlişkin Kontrol” başlıklı maddesinin, madde başlığının “Fon Türlerine ve Portföy Sınırlamalarına İlişkin Kontrol” olarak ve (a) ile (c) bentlerinin aşağıdaki şekilde değiştirilmesine, </w:t>
      </w: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“a) Yönetmelik’in 6’ncı maddesi kapsamında asgari %80 oranının, spot piyasada yapılan yatırımlarla sağlanıp sağlanmadığı kontrol edilir. Yapılandırılmış borçlanma araçları hariç olmak üzere, bu Rehber’in 3.1.2 bölümünde düzenlenen araçlara yapılacak yatırımlar %80 oranının hesaplanmasında dikkate alınmaz. </w:t>
      </w:r>
    </w:p>
    <w:p w:rsidR="002C20AA"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c) Yapılandırılmış borçlanma araçları ve varlık/ipotek teminatlı menkul kıymetler borçlanma aracı niteliğinde olup, Yönetmelik, bu Rehber ve fon izahnamesinde yer alan borçlanma araçlarına ilişkin yatırım sınırlamalarında dikkate alınır.” </w:t>
      </w:r>
    </w:p>
    <w:p w:rsidR="007311BF" w:rsidRPr="007311BF" w:rsidRDefault="007311BF" w:rsidP="007311BF">
      <w:pPr>
        <w:widowControl w:val="0"/>
        <w:spacing w:after="0" w:line="276" w:lineRule="auto"/>
        <w:ind w:left="170" w:right="170"/>
        <w:jc w:val="both"/>
        <w:rPr>
          <w:rFonts w:ascii="Arial" w:hAnsi="Arial" w:cs="Arial"/>
          <w:noProof w:val="0"/>
          <w:color w:val="000000"/>
          <w:kern w:val="16"/>
          <w:sz w:val="20"/>
          <w:szCs w:val="20"/>
        </w:rPr>
      </w:pP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4) Varlığa veya ipoteğe dayalı menkul kıymetlere ilişkin yoğunlaşma sınırları kontrolü için 3.1.10. nolu madde olarak aşağıdaki ifadenin eklenmesine, </w:t>
      </w: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“3.1.10. Varlığa/İpoteğe Dayalı Menkul Kıymetlere İlişkin Sınırlamalar </w:t>
      </w:r>
    </w:p>
    <w:p w:rsidR="002C20AA"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 xml:space="preserve">Fonlar tarafından varlığa/ipoteğe dayalı menkul kıymetlere yatırım yapılması halinde Yönetmelik’in 22’nci maddesinin birinci fıkrasının (a) bendi uyarınca yapılacak kontrollerde, her bir varlık finansmanı fonu/konut finansmanı fonu ihraççı olarak ayrı ayrı dikkate alınır. Söz konusu menkul kıymetlere yapılan yatırımlar, Yönetmelik’in 22’nci maddesinin birinci fıkrasının (f) bendi uyarınca yapılacak kontrolde dikkate alınmaz.” </w:t>
      </w:r>
    </w:p>
    <w:p w:rsidR="00596871" w:rsidRPr="007311BF" w:rsidRDefault="002C20AA" w:rsidP="007311BF">
      <w:pPr>
        <w:widowControl w:val="0"/>
        <w:spacing w:after="0" w:line="276" w:lineRule="auto"/>
        <w:ind w:left="170" w:right="170"/>
        <w:jc w:val="both"/>
        <w:rPr>
          <w:rFonts w:ascii="Arial" w:hAnsi="Arial" w:cs="Arial"/>
          <w:noProof w:val="0"/>
          <w:color w:val="000000"/>
          <w:kern w:val="16"/>
          <w:sz w:val="20"/>
          <w:szCs w:val="20"/>
        </w:rPr>
      </w:pPr>
      <w:r w:rsidRPr="007311BF">
        <w:rPr>
          <w:rFonts w:ascii="Arial" w:hAnsi="Arial" w:cs="Arial"/>
          <w:noProof w:val="0"/>
          <w:color w:val="000000"/>
          <w:kern w:val="16"/>
          <w:sz w:val="20"/>
          <w:szCs w:val="20"/>
        </w:rPr>
        <w:t>karar verilmiştir.</w:t>
      </w:r>
    </w:p>
    <w:sectPr w:rsidR="00596871" w:rsidRPr="007311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0AA" w:rsidRDefault="002C20AA" w:rsidP="002C20AA">
      <w:pPr>
        <w:spacing w:after="0" w:line="240" w:lineRule="auto"/>
      </w:pPr>
      <w:r>
        <w:separator/>
      </w:r>
    </w:p>
  </w:endnote>
  <w:endnote w:type="continuationSeparator" w:id="0">
    <w:p w:rsidR="002C20AA" w:rsidRDefault="002C20AA" w:rsidP="002C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Pr="007311BF" w:rsidRDefault="007311BF" w:rsidP="007311BF">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Pr="007311BF" w:rsidRDefault="007311BF" w:rsidP="007311BF">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Pr="007311BF" w:rsidRDefault="007311BF" w:rsidP="007311BF">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0AA" w:rsidRDefault="002C20AA" w:rsidP="002C20AA">
      <w:pPr>
        <w:spacing w:after="0" w:line="240" w:lineRule="auto"/>
      </w:pPr>
      <w:r>
        <w:separator/>
      </w:r>
    </w:p>
  </w:footnote>
  <w:footnote w:type="continuationSeparator" w:id="0">
    <w:p w:rsidR="002C20AA" w:rsidRDefault="002C20AA" w:rsidP="002C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Default="002C20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Default="002C20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AA" w:rsidRDefault="002C20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AA"/>
    <w:rsid w:val="00132EAC"/>
    <w:rsid w:val="002C20AA"/>
    <w:rsid w:val="00596871"/>
    <w:rsid w:val="005F649D"/>
    <w:rsid w:val="007311BF"/>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9B9BF"/>
  <w15:chartTrackingRefBased/>
  <w15:docId w15:val="{B895D20A-9CD0-4FAB-A7F3-0D5F8031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0AA"/>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2C20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20AA"/>
    <w:rPr>
      <w:noProof/>
    </w:rPr>
  </w:style>
  <w:style w:type="paragraph" w:styleId="AltBilgi">
    <w:name w:val="footer"/>
    <w:basedOn w:val="Normal"/>
    <w:link w:val="AltBilgiChar"/>
    <w:uiPriority w:val="99"/>
    <w:unhideWhenUsed/>
    <w:rsid w:val="002C20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20AA"/>
    <w:rPr>
      <w:noProof/>
    </w:rPr>
  </w:style>
  <w:style w:type="paragraph" w:styleId="AklamaMetni">
    <w:name w:val="annotation text"/>
    <w:basedOn w:val="Normal"/>
    <w:link w:val="AklamaMetniChar"/>
    <w:uiPriority w:val="99"/>
    <w:rsid w:val="002C20AA"/>
    <w:pPr>
      <w:spacing w:after="0" w:line="240" w:lineRule="auto"/>
      <w:jc w:val="both"/>
    </w:pPr>
    <w:rPr>
      <w:rFonts w:ascii="Arial" w:eastAsia="Times New Roman" w:hAnsi="Arial" w:cs="Times New Roman"/>
      <w:kern w:val="16"/>
      <w:position w:val="24"/>
      <w:sz w:val="20"/>
      <w:szCs w:val="20"/>
      <w:lang w:eastAsia="tr-TR"/>
    </w:rPr>
  </w:style>
  <w:style w:type="character" w:customStyle="1" w:styleId="AklamaMetniChar">
    <w:name w:val="Açıklama Metni Char"/>
    <w:basedOn w:val="VarsaylanParagrafYazTipi"/>
    <w:link w:val="AklamaMetni"/>
    <w:uiPriority w:val="99"/>
    <w:rsid w:val="002C20AA"/>
    <w:rPr>
      <w:rFonts w:ascii="Arial" w:eastAsia="Times New Roman" w:hAnsi="Arial" w:cs="Times New Roman"/>
      <w:noProof/>
      <w:kern w:val="16"/>
      <w:position w:val="24"/>
      <w:sz w:val="20"/>
      <w:szCs w:val="20"/>
      <w:lang w:eastAsia="tr-TR"/>
    </w:rPr>
  </w:style>
  <w:style w:type="character" w:styleId="AklamaBavurusu">
    <w:name w:val="annotation reference"/>
    <w:basedOn w:val="VarsaylanParagrafYazTipi"/>
    <w:uiPriority w:val="99"/>
    <w:rsid w:val="002C20AA"/>
    <w:rPr>
      <w:sz w:val="16"/>
      <w:szCs w:val="16"/>
    </w:rPr>
  </w:style>
  <w:style w:type="paragraph" w:customStyle="1" w:styleId="Default">
    <w:name w:val="Default"/>
    <w:rsid w:val="002C20A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2C20A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20AA"/>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FD15136-9364-49FF-B730-3013E998513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544</Words>
  <Characters>3101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4</cp:revision>
  <dcterms:created xsi:type="dcterms:W3CDTF">2022-12-09T14:07:00Z</dcterms:created>
  <dcterms:modified xsi:type="dcterms:W3CDTF">2023-02-22T08:40:00Z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9a733eeb-a6b7-4161-bfc3-3ceb9171bfca</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