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484F9" w14:textId="77777777" w:rsidR="00E1031F" w:rsidRPr="001D7EEF" w:rsidRDefault="00E1031F" w:rsidP="00E1031F">
      <w:pPr>
        <w:widowControl w:val="0"/>
        <w:autoSpaceDE w:val="0"/>
        <w:autoSpaceDN w:val="0"/>
        <w:adjustRightInd w:val="0"/>
        <w:spacing w:after="0" w:line="240" w:lineRule="auto"/>
        <w:ind w:left="170" w:right="170"/>
        <w:rPr>
          <w:b/>
          <w:bCs/>
          <w:sz w:val="20"/>
          <w:u w:val="single"/>
        </w:rPr>
      </w:pPr>
      <w:bookmarkStart w:id="0" w:name="_Toc10203529"/>
      <w:bookmarkStart w:id="1" w:name="_Toc105418695"/>
      <w:r w:rsidRPr="001D7EEF">
        <w:rPr>
          <w:b/>
          <w:bCs/>
          <w:sz w:val="20"/>
          <w:u w:val="single"/>
        </w:rPr>
        <w:t>Resmi Gazete Dışından Kaynak</w:t>
      </w:r>
    </w:p>
    <w:p w14:paraId="7B2E27BC" w14:textId="77777777" w:rsidR="00E1031F" w:rsidRPr="00C35D57" w:rsidRDefault="00E1031F" w:rsidP="00E1031F">
      <w:pPr>
        <w:widowControl w:val="0"/>
        <w:autoSpaceDE w:val="0"/>
        <w:autoSpaceDN w:val="0"/>
        <w:adjustRightInd w:val="0"/>
        <w:spacing w:after="0" w:line="240" w:lineRule="auto"/>
        <w:ind w:left="170" w:right="170"/>
        <w:rPr>
          <w:b/>
          <w:bCs/>
          <w:sz w:val="20"/>
          <w:u w:val="single"/>
        </w:rPr>
      </w:pPr>
      <w:r w:rsidRPr="001D7EEF">
        <w:rPr>
          <w:b/>
          <w:bCs/>
          <w:sz w:val="20"/>
          <w:u w:val="single"/>
        </w:rPr>
        <w:t>Hazine Müsteşarlığı</w:t>
      </w:r>
      <w:r>
        <w:rPr>
          <w:b/>
          <w:bCs/>
          <w:sz w:val="20"/>
          <w:u w:val="single"/>
        </w:rPr>
        <w:t xml:space="preserve"> (Sigortacılık Genel Müdürlüğü)</w:t>
      </w:r>
      <w:r w:rsidR="00C35D57">
        <w:rPr>
          <w:b/>
          <w:bCs/>
          <w:sz w:val="20"/>
        </w:rPr>
        <w:tab/>
      </w:r>
      <w:r w:rsidR="00C35D57">
        <w:rPr>
          <w:b/>
          <w:bCs/>
          <w:sz w:val="20"/>
        </w:rPr>
        <w:tab/>
      </w:r>
      <w:r w:rsidR="00C35D57">
        <w:rPr>
          <w:b/>
          <w:bCs/>
          <w:sz w:val="20"/>
        </w:rPr>
        <w:tab/>
      </w:r>
      <w:r w:rsidR="00C35D57">
        <w:rPr>
          <w:b/>
          <w:bCs/>
          <w:sz w:val="20"/>
          <w:u w:val="single"/>
        </w:rPr>
        <w:t>19.12.2017</w:t>
      </w:r>
      <w:bookmarkStart w:id="2" w:name="_GoBack"/>
      <w:bookmarkEnd w:id="2"/>
    </w:p>
    <w:p w14:paraId="34B74AFD" w14:textId="77777777" w:rsidR="00877FFA" w:rsidRPr="00C330CA" w:rsidRDefault="00877FFA" w:rsidP="00E1031F">
      <w:pPr>
        <w:widowControl w:val="0"/>
        <w:autoSpaceDE w:val="0"/>
        <w:autoSpaceDN w:val="0"/>
        <w:adjustRightInd w:val="0"/>
        <w:spacing w:after="0" w:line="240" w:lineRule="auto"/>
        <w:ind w:left="170" w:right="170"/>
        <w:rPr>
          <w:b/>
          <w:bCs/>
          <w:sz w:val="20"/>
          <w:u w:val="single"/>
        </w:rPr>
      </w:pPr>
    </w:p>
    <w:p w14:paraId="76C490C4" w14:textId="77777777" w:rsidR="00E1031F" w:rsidRDefault="00E1031F" w:rsidP="00877FFA">
      <w:pPr>
        <w:pStyle w:val="Balk2"/>
        <w:spacing w:before="0" w:after="0"/>
        <w:jc w:val="center"/>
        <w:rPr>
          <w:sz w:val="24"/>
          <w:szCs w:val="24"/>
        </w:rPr>
      </w:pPr>
      <w:r w:rsidRPr="00C330CA">
        <w:rPr>
          <w:sz w:val="24"/>
          <w:szCs w:val="24"/>
        </w:rPr>
        <w:t>RİSK PROFİL ANKETİNE İLİŞKİN GENELGE (2017/20)</w:t>
      </w:r>
      <w:bookmarkEnd w:id="0"/>
      <w:bookmarkEnd w:id="1"/>
    </w:p>
    <w:p w14:paraId="6DF2ACA1" w14:textId="77777777" w:rsidR="00877FFA" w:rsidRDefault="00877FFA" w:rsidP="00877FFA">
      <w:pPr>
        <w:spacing w:after="0"/>
      </w:pPr>
    </w:p>
    <w:p w14:paraId="11D59F64" w14:textId="77777777" w:rsidR="00877FFA" w:rsidRPr="00877FFA" w:rsidRDefault="00877FFA" w:rsidP="00877FFA">
      <w:pPr>
        <w:spacing w:after="0"/>
      </w:pPr>
    </w:p>
    <w:p w14:paraId="4B507F64" w14:textId="77777777" w:rsidR="00E1031F" w:rsidRPr="00877FFA" w:rsidRDefault="00E1031F" w:rsidP="00877FFA">
      <w:pPr>
        <w:spacing w:after="0"/>
        <w:ind w:left="170"/>
        <w:rPr>
          <w:rFonts w:eastAsia="ヒラギノ明朝 Pro W3"/>
          <w:b/>
          <w:sz w:val="20"/>
        </w:rPr>
      </w:pPr>
      <w:r w:rsidRPr="00877FFA">
        <w:rPr>
          <w:rFonts w:eastAsia="ヒラギノ明朝 Pro W3"/>
          <w:b/>
          <w:sz w:val="20"/>
        </w:rPr>
        <w:t xml:space="preserve">Risk Profil Anketi </w:t>
      </w:r>
    </w:p>
    <w:p w14:paraId="6A3404C7" w14:textId="77777777" w:rsidR="00E1031F" w:rsidRPr="00C330CA" w:rsidRDefault="00E1031F" w:rsidP="00877FFA">
      <w:pPr>
        <w:spacing w:after="0"/>
        <w:ind w:left="170"/>
        <w:rPr>
          <w:rFonts w:eastAsia="ヒラギノ明朝 Pro W3"/>
          <w:sz w:val="20"/>
        </w:rPr>
      </w:pPr>
      <w:r w:rsidRPr="00877FFA">
        <w:rPr>
          <w:rFonts w:eastAsia="ヒラギノ明朝 Pro W3"/>
          <w:b/>
          <w:sz w:val="20"/>
        </w:rPr>
        <w:t>MADDE 1 –</w:t>
      </w:r>
      <w:r w:rsidRPr="00877FFA">
        <w:rPr>
          <w:rFonts w:eastAsia="ヒラギノ明朝 Pro W3"/>
          <w:sz w:val="20"/>
        </w:rPr>
        <w:t xml:space="preserve"> </w:t>
      </w:r>
      <w:r w:rsidRPr="00C330CA">
        <w:rPr>
          <w:rFonts w:eastAsia="ヒラギノ明朝 Pro W3"/>
          <w:sz w:val="20"/>
        </w:rPr>
        <w:t>(1)</w:t>
      </w:r>
      <w:r w:rsidRPr="00877FFA">
        <w:rPr>
          <w:rFonts w:eastAsia="ヒラギノ明朝 Pro W3"/>
          <w:sz w:val="20"/>
        </w:rPr>
        <w:t xml:space="preserve"> </w:t>
      </w:r>
      <w:r w:rsidRPr="00C330CA">
        <w:rPr>
          <w:rFonts w:eastAsia="ヒラギノ明朝 Pro W3"/>
          <w:sz w:val="20"/>
        </w:rPr>
        <w:t>Ek-1’de yer alan risk profil anketi,</w:t>
      </w:r>
    </w:p>
    <w:p w14:paraId="68A8443F" w14:textId="77777777" w:rsidR="00E1031F" w:rsidRPr="00C330CA" w:rsidRDefault="00E1031F" w:rsidP="00877FFA">
      <w:pPr>
        <w:spacing w:after="0"/>
        <w:ind w:left="170"/>
        <w:rPr>
          <w:rFonts w:eastAsia="ヒラギノ明朝 Pro W3"/>
          <w:sz w:val="20"/>
        </w:rPr>
      </w:pPr>
      <w:r w:rsidRPr="00C330CA">
        <w:rPr>
          <w:rFonts w:eastAsia="ヒラギノ明朝 Pro W3"/>
          <w:sz w:val="20"/>
        </w:rPr>
        <w:t>a) Katılımcının, tamamı başlangıç fonu veya tamamı standart fonda bulunan birikimi için fon dağılım değişikliği yapılmasını talep ettiğinde,</w:t>
      </w:r>
    </w:p>
    <w:p w14:paraId="1A4F0BB1" w14:textId="77777777" w:rsidR="00E1031F" w:rsidRPr="00C330CA" w:rsidRDefault="00E1031F" w:rsidP="00877FFA">
      <w:pPr>
        <w:spacing w:after="0"/>
        <w:ind w:left="170"/>
        <w:rPr>
          <w:rFonts w:eastAsia="ヒラギノ明朝 Pro W3"/>
          <w:sz w:val="20"/>
        </w:rPr>
      </w:pPr>
      <w:r w:rsidRPr="00C330CA">
        <w:rPr>
          <w:rFonts w:eastAsia="ヒラギノ明朝 Pro W3"/>
          <w:sz w:val="20"/>
        </w:rPr>
        <w:t>b) Katılımcının 25, 35, 45, 50 ve 54 yaşlarını tamamladığı günü takip eden en geç 5 işgünü içinde ve şirketteki sözleşmeleri bakımından sistemde emeklilik hakkını kazanma tarihinden 2 yıl önceki günü takip eden en geç 5 işgünü içinde,</w:t>
      </w:r>
    </w:p>
    <w:p w14:paraId="658040DE" w14:textId="77777777" w:rsidR="00E1031F" w:rsidRPr="00C330CA" w:rsidRDefault="00E1031F" w:rsidP="00877FFA">
      <w:pPr>
        <w:spacing w:after="0"/>
        <w:ind w:left="170"/>
        <w:rPr>
          <w:rFonts w:eastAsia="ヒラギノ明朝 Pro W3"/>
          <w:sz w:val="20"/>
        </w:rPr>
      </w:pPr>
      <w:r w:rsidRPr="00C330CA">
        <w:rPr>
          <w:rFonts w:eastAsia="ヒラギノ明朝 Pro W3"/>
          <w:sz w:val="20"/>
        </w:rPr>
        <w:t>c) Fon tercih ve fon dağılımı değişikliği hakkının portföy yönetim şirketine devredilmesinden önce,</w:t>
      </w:r>
    </w:p>
    <w:p w14:paraId="04456E00" w14:textId="77777777" w:rsidR="00E1031F" w:rsidRPr="00C330CA" w:rsidRDefault="00E1031F" w:rsidP="00877FFA">
      <w:pPr>
        <w:spacing w:after="0"/>
        <w:ind w:left="170"/>
        <w:rPr>
          <w:rFonts w:eastAsia="ヒラギノ明朝 Pro W3"/>
          <w:sz w:val="20"/>
        </w:rPr>
      </w:pPr>
      <w:r w:rsidRPr="00C330CA">
        <w:rPr>
          <w:rFonts w:eastAsia="ヒラギノ明朝 Pro W3"/>
          <w:sz w:val="20"/>
        </w:rPr>
        <w:t>ç) Herhangi bir zamanda katılımcının risk profil anketi yapmayı talep etmesi halinde</w:t>
      </w:r>
    </w:p>
    <w:p w14:paraId="7699B84F" w14:textId="77777777" w:rsidR="00E1031F" w:rsidRPr="00C330CA" w:rsidRDefault="00E1031F" w:rsidP="00877FFA">
      <w:pPr>
        <w:spacing w:after="0"/>
        <w:ind w:left="170"/>
        <w:rPr>
          <w:rFonts w:eastAsia="ヒラギノ明朝 Pro W3"/>
          <w:sz w:val="20"/>
        </w:rPr>
      </w:pPr>
      <w:r w:rsidRPr="00C330CA">
        <w:rPr>
          <w:rFonts w:eastAsia="ヒラギノ明朝 Pro W3"/>
          <w:sz w:val="20"/>
        </w:rPr>
        <w:t>katılımcılara sunulur.</w:t>
      </w:r>
      <w:r w:rsidRPr="00C330CA">
        <w:rPr>
          <w:rFonts w:eastAsia="ヒラギノ明朝 Pro W3"/>
          <w:sz w:val="20"/>
        </w:rPr>
        <w:tab/>
      </w:r>
    </w:p>
    <w:p w14:paraId="0240A564" w14:textId="77777777" w:rsidR="00E1031F" w:rsidRDefault="00E1031F" w:rsidP="00877FFA">
      <w:pPr>
        <w:spacing w:after="0"/>
        <w:ind w:left="170"/>
        <w:rPr>
          <w:rFonts w:eastAsia="ヒラギノ明朝 Pro W3"/>
          <w:sz w:val="20"/>
        </w:rPr>
      </w:pPr>
      <w:r w:rsidRPr="00C330CA">
        <w:rPr>
          <w:rFonts w:eastAsia="ヒラギノ明朝 Pro W3"/>
          <w:sz w:val="20"/>
        </w:rPr>
        <w:t>(2) Emeklilik şirketi, birinci maddenin (c) fıkrası hariç olmak üzere, risk profil anketi yapmak isteyip istemediği hususunda katılımcının tercihini alır. Yanıtın olumlu olması halinde anketi uygular. Emeklilik şirketi tarafından anket hizmeti kapsamında yürütülecek tüm iş ve işlemler; yazılı, çağrı merkezi aracılığıyla, internet sitesinde katılımcı adına oluşturulan güvenli sayfa veya diğer güvenli elektronik iletişim araçları kullanılarak yapılabilir. Ayrıca, emeklilik ş</w:t>
      </w:r>
      <w:r w:rsidRPr="00877FFA">
        <w:rPr>
          <w:rFonts w:eastAsia="ヒラギノ明朝 Pro W3"/>
          <w:sz w:val="20"/>
        </w:rPr>
        <w:t xml:space="preserve">irketi </w:t>
      </w:r>
      <w:r w:rsidRPr="00C330CA">
        <w:rPr>
          <w:rFonts w:eastAsia="ヒラギノ明朝 Pro W3"/>
          <w:sz w:val="20"/>
        </w:rPr>
        <w:t>risk profil anketini,</w:t>
      </w:r>
      <w:r w:rsidRPr="00877FFA">
        <w:rPr>
          <w:rFonts w:eastAsia="ヒラギノ明朝 Pro W3"/>
          <w:sz w:val="20"/>
        </w:rPr>
        <w:t xml:space="preserve"> kurumsal </w:t>
      </w:r>
      <w:r w:rsidRPr="00C330CA">
        <w:rPr>
          <w:rFonts w:eastAsia="ヒラギノ明朝 Pro W3"/>
          <w:sz w:val="20"/>
        </w:rPr>
        <w:t>internet sitesinde katılımcı adına oluşturulan güvenli sayfada sürekli erişilebilecek şekilde sunar. Alınan yanıtlar şirket tarafından değerlendirilerek, katılımcının risk profili belirlenir ve bu profil esas alınarak fon tercihi ve fon dağılımı önerisinde bulunulur. Önerinin bağlayıcılığı bulunmamakta olup, katılımcı farklı bir fon tercihi ve fon dağılımı tercihinde bulunabilir.</w:t>
      </w:r>
    </w:p>
    <w:p w14:paraId="05159605" w14:textId="77777777" w:rsidR="00877FFA" w:rsidRDefault="00877FFA" w:rsidP="00877FFA">
      <w:pPr>
        <w:spacing w:after="0"/>
        <w:rPr>
          <w:rFonts w:eastAsia="ヒラギノ明朝 Pro W3"/>
          <w:sz w:val="20"/>
        </w:rPr>
      </w:pPr>
    </w:p>
    <w:p w14:paraId="2828E323" w14:textId="77777777" w:rsidR="00E1031F" w:rsidRPr="00877FFA" w:rsidRDefault="00E1031F" w:rsidP="00877FFA">
      <w:pPr>
        <w:spacing w:after="0"/>
        <w:ind w:firstLine="170"/>
        <w:rPr>
          <w:rFonts w:eastAsia="ヒラギノ明朝 Pro W3"/>
          <w:b/>
          <w:sz w:val="20"/>
        </w:rPr>
      </w:pPr>
      <w:r w:rsidRPr="00877FFA">
        <w:rPr>
          <w:rFonts w:eastAsia="ヒラギノ明朝 Pro W3"/>
          <w:b/>
          <w:sz w:val="20"/>
        </w:rPr>
        <w:t>Yürürlük</w:t>
      </w:r>
    </w:p>
    <w:p w14:paraId="439E6B5B" w14:textId="77777777" w:rsidR="00E1031F" w:rsidRDefault="00E1031F" w:rsidP="00877FFA">
      <w:pPr>
        <w:spacing w:after="0"/>
        <w:ind w:left="170"/>
        <w:rPr>
          <w:rFonts w:eastAsia="ヒラギノ明朝 Pro W3"/>
          <w:sz w:val="20"/>
        </w:rPr>
      </w:pPr>
      <w:r w:rsidRPr="00877FFA">
        <w:rPr>
          <w:rFonts w:eastAsia="ヒラギノ明朝 Pro W3"/>
          <w:b/>
          <w:sz w:val="20"/>
        </w:rPr>
        <w:t>MADDE 2 –</w:t>
      </w:r>
      <w:r w:rsidRPr="00877FFA">
        <w:rPr>
          <w:rFonts w:eastAsia="ヒラギノ明朝 Pro W3"/>
          <w:sz w:val="20"/>
        </w:rPr>
        <w:t xml:space="preserve"> </w:t>
      </w:r>
      <w:r w:rsidRPr="00C330CA">
        <w:rPr>
          <w:rFonts w:eastAsia="ヒラギノ明朝 Pro W3"/>
          <w:sz w:val="20"/>
        </w:rPr>
        <w:t>(1) Bu Genelge 01.01.2018 tarihinde yürürlüğe girer.</w:t>
      </w:r>
    </w:p>
    <w:p w14:paraId="2F894EC0" w14:textId="77777777" w:rsidR="00F643B5" w:rsidRPr="00C330CA" w:rsidRDefault="00F643B5" w:rsidP="00E1031F">
      <w:pPr>
        <w:spacing w:after="0"/>
        <w:rPr>
          <w:rFonts w:eastAsia="ヒラギノ明朝 Pro W3"/>
          <w:sz w:val="20"/>
        </w:rPr>
      </w:pPr>
    </w:p>
    <w:tbl>
      <w:tblPr>
        <w:tblStyle w:val="TabloKlavuzu"/>
        <w:tblW w:w="0" w:type="auto"/>
        <w:tblInd w:w="0" w:type="dxa"/>
        <w:tblLook w:val="04A0" w:firstRow="1" w:lastRow="0" w:firstColumn="1" w:lastColumn="0" w:noHBand="0" w:noVBand="1"/>
      </w:tblPr>
      <w:tblGrid>
        <w:gridCol w:w="3016"/>
        <w:gridCol w:w="3020"/>
        <w:gridCol w:w="3020"/>
      </w:tblGrid>
      <w:tr w:rsidR="00E1031F" w:rsidRPr="001D7EEF" w14:paraId="06D97AB8" w14:textId="77777777" w:rsidTr="00467BD5">
        <w:tc>
          <w:tcPr>
            <w:tcW w:w="9224" w:type="dxa"/>
            <w:gridSpan w:val="3"/>
          </w:tcPr>
          <w:p w14:paraId="419EDEE3" w14:textId="77777777" w:rsidR="00E1031F" w:rsidRPr="00B371C5" w:rsidRDefault="00E1031F" w:rsidP="00467BD5">
            <w:pPr>
              <w:jc w:val="center"/>
              <w:rPr>
                <w:b/>
                <w:sz w:val="20"/>
              </w:rPr>
            </w:pPr>
            <w:r w:rsidRPr="00B371C5">
              <w:rPr>
                <w:b/>
                <w:sz w:val="20"/>
              </w:rPr>
              <w:t>Genelge’nin</w:t>
            </w:r>
          </w:p>
        </w:tc>
      </w:tr>
      <w:tr w:rsidR="00E1031F" w:rsidRPr="001D7EEF" w14:paraId="6C790525" w14:textId="77777777" w:rsidTr="00467BD5">
        <w:tc>
          <w:tcPr>
            <w:tcW w:w="3074" w:type="dxa"/>
          </w:tcPr>
          <w:p w14:paraId="6045868F" w14:textId="77777777" w:rsidR="00E1031F" w:rsidRPr="00B371C5" w:rsidRDefault="00E1031F" w:rsidP="00467BD5">
            <w:pPr>
              <w:jc w:val="center"/>
              <w:rPr>
                <w:b/>
                <w:sz w:val="20"/>
              </w:rPr>
            </w:pPr>
            <w:r w:rsidRPr="00B371C5">
              <w:rPr>
                <w:b/>
                <w:sz w:val="20"/>
              </w:rPr>
              <w:t>Numarası</w:t>
            </w:r>
          </w:p>
        </w:tc>
        <w:tc>
          <w:tcPr>
            <w:tcW w:w="3075" w:type="dxa"/>
          </w:tcPr>
          <w:p w14:paraId="6648121C" w14:textId="77777777" w:rsidR="00E1031F" w:rsidRPr="00B371C5" w:rsidRDefault="00E1031F" w:rsidP="00467BD5">
            <w:pPr>
              <w:jc w:val="center"/>
              <w:rPr>
                <w:b/>
                <w:sz w:val="20"/>
              </w:rPr>
            </w:pPr>
            <w:r w:rsidRPr="00B371C5">
              <w:rPr>
                <w:b/>
                <w:sz w:val="20"/>
              </w:rPr>
              <w:t>Kabul Tarihi</w:t>
            </w:r>
          </w:p>
        </w:tc>
        <w:tc>
          <w:tcPr>
            <w:tcW w:w="3075" w:type="dxa"/>
          </w:tcPr>
          <w:p w14:paraId="75EBA72B" w14:textId="77777777" w:rsidR="00E1031F" w:rsidRPr="00B371C5" w:rsidRDefault="00E1031F" w:rsidP="00467BD5">
            <w:pPr>
              <w:jc w:val="center"/>
              <w:rPr>
                <w:b/>
                <w:sz w:val="20"/>
              </w:rPr>
            </w:pPr>
            <w:r w:rsidRPr="00B371C5">
              <w:rPr>
                <w:b/>
                <w:sz w:val="20"/>
              </w:rPr>
              <w:t>Yürürlüğe Giriş Tarihi</w:t>
            </w:r>
          </w:p>
        </w:tc>
      </w:tr>
      <w:tr w:rsidR="00E1031F" w14:paraId="78B97D65" w14:textId="77777777" w:rsidTr="00467BD5">
        <w:tc>
          <w:tcPr>
            <w:tcW w:w="3074" w:type="dxa"/>
          </w:tcPr>
          <w:p w14:paraId="79C74543" w14:textId="77777777" w:rsidR="00E1031F" w:rsidRPr="00B371C5" w:rsidRDefault="00E1031F" w:rsidP="00467BD5">
            <w:pPr>
              <w:jc w:val="center"/>
              <w:rPr>
                <w:sz w:val="20"/>
              </w:rPr>
            </w:pPr>
            <w:r w:rsidRPr="00B371C5">
              <w:rPr>
                <w:sz w:val="20"/>
              </w:rPr>
              <w:t>2017/20</w:t>
            </w:r>
          </w:p>
        </w:tc>
        <w:tc>
          <w:tcPr>
            <w:tcW w:w="3075" w:type="dxa"/>
          </w:tcPr>
          <w:p w14:paraId="6CB92009" w14:textId="77777777" w:rsidR="00E1031F" w:rsidRPr="00B371C5" w:rsidRDefault="00E1031F" w:rsidP="00467BD5">
            <w:pPr>
              <w:jc w:val="center"/>
              <w:rPr>
                <w:sz w:val="20"/>
              </w:rPr>
            </w:pPr>
            <w:r w:rsidRPr="00B371C5">
              <w:rPr>
                <w:sz w:val="20"/>
              </w:rPr>
              <w:t>19.12.2017</w:t>
            </w:r>
          </w:p>
        </w:tc>
        <w:tc>
          <w:tcPr>
            <w:tcW w:w="3075" w:type="dxa"/>
          </w:tcPr>
          <w:p w14:paraId="150EED7C" w14:textId="77777777" w:rsidR="00E1031F" w:rsidRPr="00B371C5" w:rsidRDefault="00E1031F" w:rsidP="00467BD5">
            <w:pPr>
              <w:jc w:val="center"/>
              <w:rPr>
                <w:sz w:val="20"/>
              </w:rPr>
            </w:pPr>
            <w:r w:rsidRPr="00B371C5">
              <w:rPr>
                <w:sz w:val="20"/>
              </w:rPr>
              <w:t>01.01.2018</w:t>
            </w:r>
          </w:p>
        </w:tc>
      </w:tr>
    </w:tbl>
    <w:p w14:paraId="7F0C733D" w14:textId="77777777" w:rsidR="00E1031F" w:rsidRDefault="00E1031F" w:rsidP="00E1031F">
      <w:r>
        <w:br w:type="page"/>
      </w:r>
    </w:p>
    <w:p w14:paraId="1BADEC90" w14:textId="77777777" w:rsidR="00E1031F" w:rsidRPr="00FF1F3B" w:rsidRDefault="00E1031F" w:rsidP="00E1031F">
      <w:pPr>
        <w:spacing w:after="0"/>
        <w:rPr>
          <w:sz w:val="20"/>
        </w:rPr>
      </w:pPr>
    </w:p>
    <w:p w14:paraId="7A591E76" w14:textId="77777777" w:rsidR="00E1031F" w:rsidRPr="00FF1F3B" w:rsidRDefault="00E1031F" w:rsidP="00E1031F">
      <w:pPr>
        <w:pStyle w:val="ListeParagraf"/>
        <w:spacing w:line="360" w:lineRule="auto"/>
        <w:ind w:left="0" w:firstLine="567"/>
        <w:rPr>
          <w:rFonts w:ascii="Arial" w:hAnsi="Arial" w:cs="Arial"/>
          <w:b/>
          <w:color w:val="2E74B5" w:themeColor="accent1" w:themeShade="BF"/>
          <w:sz w:val="20"/>
          <w:szCs w:val="20"/>
        </w:rPr>
      </w:pPr>
      <w:r w:rsidRPr="00FF1F3B">
        <w:rPr>
          <w:rFonts w:ascii="Arial" w:hAnsi="Arial" w:cs="Arial"/>
          <w:b/>
          <w:color w:val="2E74B5" w:themeColor="accent1" w:themeShade="BF"/>
          <w:sz w:val="20"/>
          <w:szCs w:val="20"/>
        </w:rPr>
        <w:t xml:space="preserve">EK-1 </w:t>
      </w:r>
    </w:p>
    <w:p w14:paraId="47F28004" w14:textId="77777777" w:rsidR="00E1031F" w:rsidRPr="00FF1F3B" w:rsidRDefault="00E1031F" w:rsidP="00E1031F">
      <w:pPr>
        <w:pBdr>
          <w:top w:val="single" w:sz="4" w:space="1" w:color="2E74B5" w:themeColor="accent1" w:themeShade="BF"/>
          <w:bottom w:val="single" w:sz="4" w:space="1" w:color="BDD6EE" w:themeColor="accent1" w:themeTint="66"/>
        </w:pBdr>
        <w:shd w:val="clear" w:color="auto" w:fill="DEEAF6" w:themeFill="accent1" w:themeFillTint="33"/>
        <w:spacing w:after="0"/>
        <w:rPr>
          <w:b/>
          <w:color w:val="2E74B5" w:themeColor="accent1" w:themeShade="BF"/>
          <w:sz w:val="20"/>
        </w:rPr>
      </w:pPr>
      <w:r w:rsidRPr="00FF1F3B">
        <w:rPr>
          <w:b/>
          <w:color w:val="2E74B5" w:themeColor="accent1" w:themeShade="BF"/>
          <w:sz w:val="20"/>
        </w:rPr>
        <w:t>Risk Profil Anketi</w:t>
      </w:r>
    </w:p>
    <w:p w14:paraId="3D25E9B4" w14:textId="77777777" w:rsidR="00E1031F" w:rsidRPr="00FF1F3B" w:rsidRDefault="00E1031F" w:rsidP="00E1031F">
      <w:pPr>
        <w:spacing w:after="0"/>
        <w:rPr>
          <w:sz w:val="20"/>
        </w:rPr>
      </w:pPr>
      <w:r w:rsidRPr="00FF1F3B">
        <w:rPr>
          <w:sz w:val="20"/>
        </w:rPr>
        <w:t>Yatırımcı tarafından yüklenilmesi kabul edilebilir olan riskin düzeyi, “risk profili” olarak adlandırılır. Bireysel emeklilik sistemi (BES), katılımcılarının yatırım riskine olan duyarlılığını ölçerek risk profilinin belirlenmesi, katılımcının beklentilerini doğru olarak karşılamak için uygun emeklilik yatırım fonunun önerilmesine imkân tanır.</w:t>
      </w:r>
    </w:p>
    <w:p w14:paraId="72836678" w14:textId="77777777" w:rsidR="00E1031F" w:rsidRPr="00FF1F3B" w:rsidRDefault="00E1031F" w:rsidP="00E1031F">
      <w:pPr>
        <w:spacing w:after="0"/>
        <w:rPr>
          <w:sz w:val="20"/>
        </w:rPr>
      </w:pPr>
      <w:r w:rsidRPr="00FF1F3B">
        <w:rPr>
          <w:sz w:val="20"/>
        </w:rPr>
        <w:t>Aşağıda yer alan sorular</w:t>
      </w:r>
      <w:r w:rsidRPr="00FF1F3B">
        <w:rPr>
          <w:rFonts w:eastAsia="ヒラギノ明朝 Pro W3"/>
          <w:b/>
          <w:sz w:val="20"/>
        </w:rPr>
        <w:t xml:space="preserve"> </w:t>
      </w:r>
      <w:r w:rsidRPr="00FF1F3B">
        <w:rPr>
          <w:sz w:val="20"/>
        </w:rPr>
        <w:t>risk profilinizi tespit etmek amacıyla tasarlanmıştır. Bu kapsamda, finansal tercihleriniz, mali durumunuz ve hedefleriniz incelenerek size özel yatırım stratejisi ve fon önerisinde bulunulması amaçlanmaktadır. Bu nedenle sorulara eksiksiz, doğru veya size en yakın gelen yanıtı vermek suretiyle anketi tamamlamanız önem arz etmektedir.</w:t>
      </w:r>
    </w:p>
    <w:p w14:paraId="35FEFFC2" w14:textId="77777777" w:rsidR="00E1031F" w:rsidRPr="00FF1F3B" w:rsidRDefault="00E1031F" w:rsidP="00E1031F">
      <w:pPr>
        <w:spacing w:after="0"/>
        <w:rPr>
          <w:sz w:val="20"/>
        </w:rPr>
      </w:pPr>
      <w:r w:rsidRPr="00FF1F3B">
        <w:rPr>
          <w:sz w:val="20"/>
        </w:rPr>
        <w:t>Ankete katılım sağlamanız veya anket sonunda önerilecek fonu/fonları tercih etmeniz zorunlu değildir. Değerlendirme tamamen anket sorularına verdiğiniz cevaplar kapsamında yapılacaktır.</w:t>
      </w:r>
    </w:p>
    <w:p w14:paraId="12A67A30" w14:textId="77777777" w:rsidR="00E1031F" w:rsidRPr="00FF1F3B" w:rsidRDefault="00E1031F" w:rsidP="00E1031F">
      <w:pPr>
        <w:spacing w:after="0"/>
        <w:rPr>
          <w:sz w:val="20"/>
        </w:rPr>
      </w:pPr>
    </w:p>
    <w:p w14:paraId="17AA4C92" w14:textId="77777777" w:rsidR="00E1031F" w:rsidRPr="00FF1F3B" w:rsidRDefault="00E1031F" w:rsidP="00E1031F">
      <w:pPr>
        <w:pBdr>
          <w:top w:val="single" w:sz="4" w:space="1" w:color="2E74B5" w:themeColor="accent1" w:themeShade="BF"/>
          <w:bottom w:val="single" w:sz="4" w:space="1" w:color="BDD6EE" w:themeColor="accent1" w:themeTint="66"/>
        </w:pBdr>
        <w:shd w:val="clear" w:color="auto" w:fill="DEEAF6" w:themeFill="accent1" w:themeFillTint="33"/>
        <w:spacing w:after="0"/>
        <w:rPr>
          <w:b/>
          <w:color w:val="2E74B5" w:themeColor="accent1" w:themeShade="BF"/>
          <w:sz w:val="20"/>
        </w:rPr>
      </w:pPr>
      <w:r w:rsidRPr="00FF1F3B">
        <w:rPr>
          <w:b/>
          <w:color w:val="2E74B5" w:themeColor="accent1" w:themeShade="BF"/>
          <w:sz w:val="20"/>
        </w:rPr>
        <w:t>Sorular</w:t>
      </w:r>
    </w:p>
    <w:p w14:paraId="7B483B4D" w14:textId="77777777" w:rsidR="00E1031F" w:rsidRPr="00FF1F3B" w:rsidRDefault="00E1031F" w:rsidP="00E1031F">
      <w:pPr>
        <w:spacing w:after="0"/>
        <w:rPr>
          <w:color w:val="44546A" w:themeColor="text2"/>
          <w:sz w:val="20"/>
        </w:rPr>
      </w:pPr>
    </w:p>
    <w:p w14:paraId="1D17F701" w14:textId="77777777" w:rsidR="00E1031F" w:rsidRPr="00FF1F3B" w:rsidRDefault="00E1031F" w:rsidP="00E1031F">
      <w:pPr>
        <w:pBdr>
          <w:top w:val="single" w:sz="4" w:space="1" w:color="DEEAF6" w:themeColor="accent1" w:themeTint="33"/>
        </w:pBdr>
        <w:spacing w:after="0"/>
        <w:rPr>
          <w:color w:val="5B9BD5" w:themeColor="accent1"/>
          <w:sz w:val="20"/>
        </w:rPr>
      </w:pPr>
      <w:r w:rsidRPr="00FF1F3B">
        <w:rPr>
          <w:b/>
          <w:color w:val="5B9BD5" w:themeColor="accent1"/>
          <w:sz w:val="20"/>
        </w:rPr>
        <w:t xml:space="preserve">Soru 1) </w:t>
      </w:r>
      <w:r w:rsidRPr="00FF1F3B">
        <w:rPr>
          <w:color w:val="5B9BD5" w:themeColor="accent1"/>
          <w:sz w:val="20"/>
        </w:rPr>
        <w:t>Aşağıda belirtilen süre boyunca sistemde kalmayı düşünüyorum.</w:t>
      </w:r>
    </w:p>
    <w:tbl>
      <w:tblPr>
        <w:tblStyle w:val="TabloKlavuzu"/>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9"/>
        <w:gridCol w:w="328"/>
      </w:tblGrid>
      <w:tr w:rsidR="00E1031F" w:rsidRPr="00FF1F3B" w14:paraId="1B4EFF62" w14:textId="77777777" w:rsidTr="00467BD5">
        <w:tc>
          <w:tcPr>
            <w:tcW w:w="4864" w:type="pct"/>
          </w:tcPr>
          <w:p w14:paraId="3B6BA8EC" w14:textId="77777777" w:rsidR="00E1031F" w:rsidRPr="00FF1F3B" w:rsidRDefault="00E1031F" w:rsidP="00467BD5">
            <w:pPr>
              <w:spacing w:after="0"/>
              <w:rPr>
                <w:color w:val="44546A" w:themeColor="text2"/>
                <w:sz w:val="20"/>
              </w:rPr>
            </w:pPr>
            <w:r w:rsidRPr="00FF1F3B">
              <w:rPr>
                <w:sz w:val="20"/>
              </w:rPr>
              <w:sym w:font="Wingdings" w:char="F071"/>
            </w:r>
            <w:r w:rsidRPr="00FF1F3B">
              <w:rPr>
                <w:sz w:val="20"/>
              </w:rPr>
              <w:t xml:space="preserve"> 3 yıldan daha kısa</w:t>
            </w:r>
          </w:p>
        </w:tc>
        <w:tc>
          <w:tcPr>
            <w:tcW w:w="136" w:type="pct"/>
          </w:tcPr>
          <w:p w14:paraId="2C3C2B1F" w14:textId="77777777" w:rsidR="00E1031F" w:rsidRPr="00FF1F3B" w:rsidRDefault="00E1031F" w:rsidP="00467BD5">
            <w:pPr>
              <w:spacing w:after="0"/>
              <w:jc w:val="right"/>
              <w:rPr>
                <w:sz w:val="20"/>
              </w:rPr>
            </w:pPr>
            <w:r w:rsidRPr="00FF1F3B">
              <w:rPr>
                <w:sz w:val="20"/>
              </w:rPr>
              <w:t>0</w:t>
            </w:r>
          </w:p>
        </w:tc>
      </w:tr>
      <w:tr w:rsidR="00E1031F" w:rsidRPr="00FF1F3B" w14:paraId="6D72AEF9" w14:textId="77777777" w:rsidTr="00467BD5">
        <w:tc>
          <w:tcPr>
            <w:tcW w:w="4864" w:type="pct"/>
          </w:tcPr>
          <w:p w14:paraId="40A81224" w14:textId="77777777" w:rsidR="00E1031F" w:rsidRPr="00FF1F3B" w:rsidRDefault="00E1031F" w:rsidP="00467BD5">
            <w:pPr>
              <w:spacing w:after="0"/>
              <w:rPr>
                <w:sz w:val="20"/>
              </w:rPr>
            </w:pPr>
            <w:r w:rsidRPr="00FF1F3B">
              <w:rPr>
                <w:sz w:val="20"/>
              </w:rPr>
              <w:sym w:font="Wingdings" w:char="F071"/>
            </w:r>
            <w:r w:rsidRPr="00FF1F3B">
              <w:rPr>
                <w:sz w:val="20"/>
              </w:rPr>
              <w:t xml:space="preserve"> 3 – 6 yıl arasında</w:t>
            </w:r>
          </w:p>
        </w:tc>
        <w:tc>
          <w:tcPr>
            <w:tcW w:w="136" w:type="pct"/>
          </w:tcPr>
          <w:p w14:paraId="0ACCCA1F" w14:textId="77777777" w:rsidR="00E1031F" w:rsidRPr="00FF1F3B" w:rsidRDefault="00E1031F" w:rsidP="00467BD5">
            <w:pPr>
              <w:spacing w:after="0"/>
              <w:jc w:val="right"/>
              <w:rPr>
                <w:sz w:val="20"/>
              </w:rPr>
            </w:pPr>
            <w:r w:rsidRPr="00FF1F3B">
              <w:rPr>
                <w:sz w:val="20"/>
              </w:rPr>
              <w:t>3</w:t>
            </w:r>
          </w:p>
        </w:tc>
      </w:tr>
      <w:tr w:rsidR="00E1031F" w:rsidRPr="00FF1F3B" w14:paraId="5B4B3954" w14:textId="77777777" w:rsidTr="00467BD5">
        <w:tc>
          <w:tcPr>
            <w:tcW w:w="4864" w:type="pct"/>
          </w:tcPr>
          <w:p w14:paraId="63AF6AA2" w14:textId="77777777" w:rsidR="00E1031F" w:rsidRPr="00FF1F3B" w:rsidRDefault="00E1031F" w:rsidP="00467BD5">
            <w:pPr>
              <w:spacing w:after="0"/>
              <w:rPr>
                <w:sz w:val="20"/>
              </w:rPr>
            </w:pPr>
            <w:r w:rsidRPr="00FF1F3B">
              <w:rPr>
                <w:sz w:val="20"/>
              </w:rPr>
              <w:sym w:font="Wingdings" w:char="F071"/>
            </w:r>
            <w:r w:rsidRPr="00FF1F3B">
              <w:rPr>
                <w:sz w:val="20"/>
              </w:rPr>
              <w:t xml:space="preserve"> 6 – 10 yıl arasında</w:t>
            </w:r>
          </w:p>
        </w:tc>
        <w:tc>
          <w:tcPr>
            <w:tcW w:w="136" w:type="pct"/>
          </w:tcPr>
          <w:p w14:paraId="5B9AC382" w14:textId="77777777" w:rsidR="00E1031F" w:rsidRPr="00FF1F3B" w:rsidRDefault="00E1031F" w:rsidP="00467BD5">
            <w:pPr>
              <w:spacing w:after="0"/>
              <w:jc w:val="right"/>
              <w:rPr>
                <w:sz w:val="20"/>
              </w:rPr>
            </w:pPr>
            <w:r w:rsidRPr="00FF1F3B">
              <w:rPr>
                <w:sz w:val="20"/>
              </w:rPr>
              <w:t>6</w:t>
            </w:r>
          </w:p>
        </w:tc>
      </w:tr>
      <w:tr w:rsidR="00E1031F" w:rsidRPr="00FF1F3B" w14:paraId="3ED8D3F9" w14:textId="77777777" w:rsidTr="00467BD5">
        <w:tc>
          <w:tcPr>
            <w:tcW w:w="4864" w:type="pct"/>
          </w:tcPr>
          <w:p w14:paraId="6FE322F4" w14:textId="77777777" w:rsidR="00E1031F" w:rsidRPr="00FF1F3B" w:rsidRDefault="00E1031F" w:rsidP="00467BD5">
            <w:pPr>
              <w:spacing w:after="0"/>
              <w:rPr>
                <w:sz w:val="20"/>
              </w:rPr>
            </w:pPr>
            <w:r w:rsidRPr="00FF1F3B">
              <w:rPr>
                <w:sz w:val="20"/>
              </w:rPr>
              <w:sym w:font="Wingdings" w:char="F071"/>
            </w:r>
            <w:r w:rsidRPr="00FF1F3B">
              <w:rPr>
                <w:sz w:val="20"/>
              </w:rPr>
              <w:t xml:space="preserve"> 10 yıldan daha fazla</w:t>
            </w:r>
          </w:p>
        </w:tc>
        <w:tc>
          <w:tcPr>
            <w:tcW w:w="136" w:type="pct"/>
          </w:tcPr>
          <w:p w14:paraId="77C0E9DE" w14:textId="77777777" w:rsidR="00E1031F" w:rsidRPr="00FF1F3B" w:rsidRDefault="00E1031F" w:rsidP="00467BD5">
            <w:pPr>
              <w:spacing w:after="0"/>
              <w:jc w:val="right"/>
              <w:rPr>
                <w:sz w:val="20"/>
              </w:rPr>
            </w:pPr>
            <w:r w:rsidRPr="00FF1F3B">
              <w:rPr>
                <w:sz w:val="20"/>
              </w:rPr>
              <w:t>9</w:t>
            </w:r>
          </w:p>
        </w:tc>
      </w:tr>
    </w:tbl>
    <w:p w14:paraId="1F48C7B5" w14:textId="77777777" w:rsidR="00E1031F" w:rsidRPr="00FF1F3B" w:rsidRDefault="00E1031F" w:rsidP="00E1031F">
      <w:pPr>
        <w:pBdr>
          <w:top w:val="single" w:sz="4" w:space="1" w:color="DEEAF6" w:themeColor="accent1" w:themeTint="33"/>
        </w:pBdr>
        <w:spacing w:before="240" w:after="0"/>
        <w:rPr>
          <w:color w:val="5B9BD5" w:themeColor="accent1"/>
          <w:sz w:val="20"/>
        </w:rPr>
      </w:pPr>
      <w:r w:rsidRPr="00FF1F3B">
        <w:rPr>
          <w:b/>
          <w:color w:val="5B9BD5" w:themeColor="accent1"/>
          <w:sz w:val="20"/>
        </w:rPr>
        <w:t xml:space="preserve">Soru 2) </w:t>
      </w:r>
      <w:r w:rsidRPr="00FF1F3B">
        <w:rPr>
          <w:color w:val="5B9BD5" w:themeColor="accent1"/>
          <w:sz w:val="20"/>
        </w:rPr>
        <w:t>Finansal yatırım işlemleri hakkındaki bilginiz nasıldır?</w:t>
      </w:r>
    </w:p>
    <w:tbl>
      <w:tblPr>
        <w:tblStyle w:val="TabloKlavuzu"/>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9"/>
        <w:gridCol w:w="328"/>
      </w:tblGrid>
      <w:tr w:rsidR="00E1031F" w:rsidRPr="00FF1F3B" w14:paraId="41989821" w14:textId="77777777" w:rsidTr="00467BD5">
        <w:tc>
          <w:tcPr>
            <w:tcW w:w="4864" w:type="pct"/>
          </w:tcPr>
          <w:p w14:paraId="462232D6" w14:textId="77777777" w:rsidR="00E1031F" w:rsidRPr="00FF1F3B" w:rsidRDefault="00E1031F" w:rsidP="00467BD5">
            <w:pPr>
              <w:spacing w:after="0"/>
              <w:rPr>
                <w:color w:val="44546A" w:themeColor="text2"/>
                <w:sz w:val="20"/>
              </w:rPr>
            </w:pPr>
            <w:r w:rsidRPr="00FF1F3B">
              <w:rPr>
                <w:sz w:val="20"/>
              </w:rPr>
              <w:sym w:font="Wingdings" w:char="F071"/>
            </w:r>
            <w:r w:rsidRPr="00FF1F3B">
              <w:rPr>
                <w:sz w:val="20"/>
              </w:rPr>
              <w:t xml:space="preserve"> Hiçbir bilgim yok.</w:t>
            </w:r>
            <w:r w:rsidRPr="00FF1F3B">
              <w:rPr>
                <w:rFonts w:eastAsia="ヒラギノ明朝 Pro W3"/>
                <w:b/>
                <w:color w:val="00B050"/>
                <w:sz w:val="20"/>
              </w:rPr>
              <w:t xml:space="preserve"> </w:t>
            </w:r>
          </w:p>
        </w:tc>
        <w:tc>
          <w:tcPr>
            <w:tcW w:w="136" w:type="pct"/>
          </w:tcPr>
          <w:p w14:paraId="29050B8B" w14:textId="77777777" w:rsidR="00E1031F" w:rsidRPr="00FF1F3B" w:rsidRDefault="00E1031F" w:rsidP="00467BD5">
            <w:pPr>
              <w:spacing w:after="0"/>
              <w:jc w:val="right"/>
              <w:rPr>
                <w:sz w:val="20"/>
              </w:rPr>
            </w:pPr>
            <w:r w:rsidRPr="00FF1F3B">
              <w:rPr>
                <w:sz w:val="20"/>
              </w:rPr>
              <w:t>0</w:t>
            </w:r>
          </w:p>
        </w:tc>
      </w:tr>
      <w:tr w:rsidR="00E1031F" w:rsidRPr="00FF1F3B" w14:paraId="261924E6" w14:textId="77777777" w:rsidTr="00467BD5">
        <w:tc>
          <w:tcPr>
            <w:tcW w:w="4864" w:type="pct"/>
          </w:tcPr>
          <w:p w14:paraId="16111284" w14:textId="77777777" w:rsidR="00E1031F" w:rsidRPr="00FF1F3B" w:rsidRDefault="00E1031F" w:rsidP="00467BD5">
            <w:pPr>
              <w:spacing w:after="0"/>
              <w:rPr>
                <w:sz w:val="20"/>
              </w:rPr>
            </w:pPr>
            <w:r w:rsidRPr="00FF1F3B">
              <w:rPr>
                <w:sz w:val="20"/>
              </w:rPr>
              <w:sym w:font="Wingdings" w:char="F071"/>
            </w:r>
            <w:r w:rsidRPr="00FF1F3B">
              <w:rPr>
                <w:sz w:val="20"/>
              </w:rPr>
              <w:t xml:space="preserve"> Çok az bilgim var. </w:t>
            </w:r>
          </w:p>
        </w:tc>
        <w:tc>
          <w:tcPr>
            <w:tcW w:w="136" w:type="pct"/>
          </w:tcPr>
          <w:p w14:paraId="28001457" w14:textId="77777777" w:rsidR="00E1031F" w:rsidRPr="00FF1F3B" w:rsidRDefault="00E1031F" w:rsidP="00467BD5">
            <w:pPr>
              <w:spacing w:after="0"/>
              <w:jc w:val="right"/>
              <w:rPr>
                <w:sz w:val="20"/>
              </w:rPr>
            </w:pPr>
            <w:r w:rsidRPr="00FF1F3B">
              <w:rPr>
                <w:sz w:val="20"/>
              </w:rPr>
              <w:t>1</w:t>
            </w:r>
          </w:p>
        </w:tc>
      </w:tr>
      <w:tr w:rsidR="00E1031F" w:rsidRPr="00FF1F3B" w14:paraId="264F69EF" w14:textId="77777777" w:rsidTr="00467BD5">
        <w:tc>
          <w:tcPr>
            <w:tcW w:w="4864" w:type="pct"/>
          </w:tcPr>
          <w:p w14:paraId="2DA9567C" w14:textId="77777777" w:rsidR="00E1031F" w:rsidRPr="00FF1F3B" w:rsidRDefault="00E1031F" w:rsidP="00467BD5">
            <w:pPr>
              <w:spacing w:after="0"/>
              <w:rPr>
                <w:sz w:val="20"/>
              </w:rPr>
            </w:pPr>
            <w:r w:rsidRPr="00FF1F3B">
              <w:rPr>
                <w:sz w:val="20"/>
              </w:rPr>
              <w:sym w:font="Wingdings" w:char="F071"/>
            </w:r>
            <w:r w:rsidRPr="00FF1F3B">
              <w:rPr>
                <w:sz w:val="20"/>
              </w:rPr>
              <w:t xml:space="preserve"> Makul düzeyde bilgim var ve yatırım araçları arasındaki farkı anlıyorum.</w:t>
            </w:r>
          </w:p>
        </w:tc>
        <w:tc>
          <w:tcPr>
            <w:tcW w:w="136" w:type="pct"/>
          </w:tcPr>
          <w:p w14:paraId="54679F19" w14:textId="77777777" w:rsidR="00E1031F" w:rsidRPr="00FF1F3B" w:rsidRDefault="00E1031F" w:rsidP="00467BD5">
            <w:pPr>
              <w:spacing w:after="0"/>
              <w:jc w:val="right"/>
              <w:rPr>
                <w:sz w:val="20"/>
              </w:rPr>
            </w:pPr>
            <w:r w:rsidRPr="00FF1F3B">
              <w:rPr>
                <w:sz w:val="20"/>
              </w:rPr>
              <w:t>2</w:t>
            </w:r>
          </w:p>
        </w:tc>
      </w:tr>
      <w:tr w:rsidR="00E1031F" w:rsidRPr="00FF1F3B" w14:paraId="51CCFD20" w14:textId="77777777" w:rsidTr="00467BD5">
        <w:tc>
          <w:tcPr>
            <w:tcW w:w="4864" w:type="pct"/>
          </w:tcPr>
          <w:p w14:paraId="4F9FC639" w14:textId="77777777" w:rsidR="00E1031F" w:rsidRPr="00FF1F3B" w:rsidRDefault="00E1031F" w:rsidP="00467BD5">
            <w:pPr>
              <w:spacing w:after="0"/>
              <w:rPr>
                <w:sz w:val="20"/>
              </w:rPr>
            </w:pPr>
            <w:r w:rsidRPr="00FF1F3B">
              <w:rPr>
                <w:sz w:val="20"/>
              </w:rPr>
              <w:sym w:font="Wingdings" w:char="F071"/>
            </w:r>
            <w:r w:rsidRPr="00FF1F3B">
              <w:rPr>
                <w:sz w:val="20"/>
              </w:rPr>
              <w:t xml:space="preserve"> Oldukça bilgiliyim ve yatırımlarımı etkileyebilecek faktörleri anlayabiliyorum.</w:t>
            </w:r>
          </w:p>
        </w:tc>
        <w:tc>
          <w:tcPr>
            <w:tcW w:w="136" w:type="pct"/>
          </w:tcPr>
          <w:p w14:paraId="3F844EBA" w14:textId="77777777" w:rsidR="00E1031F" w:rsidRPr="00FF1F3B" w:rsidRDefault="00E1031F" w:rsidP="00467BD5">
            <w:pPr>
              <w:spacing w:after="0"/>
              <w:jc w:val="right"/>
              <w:rPr>
                <w:sz w:val="20"/>
              </w:rPr>
            </w:pPr>
            <w:r w:rsidRPr="00FF1F3B">
              <w:rPr>
                <w:sz w:val="20"/>
              </w:rPr>
              <w:t>3</w:t>
            </w:r>
          </w:p>
        </w:tc>
      </w:tr>
      <w:tr w:rsidR="00E1031F" w:rsidRPr="00FF1F3B" w14:paraId="1E071F2E" w14:textId="77777777" w:rsidTr="00467BD5">
        <w:tc>
          <w:tcPr>
            <w:tcW w:w="4864" w:type="pct"/>
          </w:tcPr>
          <w:p w14:paraId="4017A05F" w14:textId="77777777" w:rsidR="00E1031F" w:rsidRPr="00FF1F3B" w:rsidRDefault="00E1031F" w:rsidP="00467BD5">
            <w:pPr>
              <w:spacing w:after="0"/>
              <w:rPr>
                <w:sz w:val="20"/>
              </w:rPr>
            </w:pPr>
            <w:r w:rsidRPr="00FF1F3B">
              <w:rPr>
                <w:sz w:val="20"/>
              </w:rPr>
              <w:sym w:font="Wingdings" w:char="F071"/>
            </w:r>
            <w:r w:rsidRPr="00FF1F3B">
              <w:rPr>
                <w:sz w:val="20"/>
              </w:rPr>
              <w:t xml:space="preserve"> Tecrübeli ve uzman bir yatırımcıyım.</w:t>
            </w:r>
          </w:p>
        </w:tc>
        <w:tc>
          <w:tcPr>
            <w:tcW w:w="136" w:type="pct"/>
          </w:tcPr>
          <w:p w14:paraId="65703DFE" w14:textId="77777777" w:rsidR="00E1031F" w:rsidRPr="00FF1F3B" w:rsidRDefault="00E1031F" w:rsidP="00467BD5">
            <w:pPr>
              <w:spacing w:after="0"/>
              <w:jc w:val="right"/>
              <w:rPr>
                <w:sz w:val="20"/>
              </w:rPr>
            </w:pPr>
            <w:r w:rsidRPr="00FF1F3B">
              <w:rPr>
                <w:sz w:val="20"/>
              </w:rPr>
              <w:t>4</w:t>
            </w:r>
          </w:p>
        </w:tc>
      </w:tr>
    </w:tbl>
    <w:p w14:paraId="1243DC63" w14:textId="77777777" w:rsidR="00E1031F" w:rsidRPr="00FF1F3B" w:rsidRDefault="00E1031F" w:rsidP="00E1031F">
      <w:pPr>
        <w:pBdr>
          <w:top w:val="single" w:sz="4" w:space="1" w:color="DEEAF6" w:themeColor="accent1" w:themeTint="33"/>
        </w:pBdr>
        <w:spacing w:before="240" w:after="0"/>
        <w:rPr>
          <w:color w:val="5B9BD5" w:themeColor="accent1"/>
          <w:sz w:val="20"/>
        </w:rPr>
      </w:pPr>
      <w:r w:rsidRPr="00FF1F3B">
        <w:rPr>
          <w:b/>
          <w:color w:val="5B9BD5" w:themeColor="accent1"/>
          <w:sz w:val="20"/>
        </w:rPr>
        <w:t xml:space="preserve">Soru 3) </w:t>
      </w:r>
      <w:r w:rsidRPr="00FF1F3B">
        <w:rPr>
          <w:color w:val="5B9BD5" w:themeColor="accent1"/>
          <w:sz w:val="20"/>
        </w:rPr>
        <w:t>Getiri ve risk alma hususlarında ne düşünüyorsunuz?</w:t>
      </w:r>
    </w:p>
    <w:tbl>
      <w:tblPr>
        <w:tblStyle w:val="TabloKlavuzu"/>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9"/>
        <w:gridCol w:w="328"/>
      </w:tblGrid>
      <w:tr w:rsidR="00E1031F" w:rsidRPr="00FF1F3B" w14:paraId="521306C8" w14:textId="77777777" w:rsidTr="00467BD5">
        <w:tc>
          <w:tcPr>
            <w:tcW w:w="4864" w:type="pct"/>
          </w:tcPr>
          <w:p w14:paraId="506A900A" w14:textId="77777777" w:rsidR="00E1031F" w:rsidRPr="00FF1F3B" w:rsidRDefault="00E1031F" w:rsidP="00467BD5">
            <w:pPr>
              <w:spacing w:after="0"/>
              <w:rPr>
                <w:color w:val="44546A" w:themeColor="text2"/>
                <w:sz w:val="20"/>
              </w:rPr>
            </w:pPr>
            <w:r w:rsidRPr="00FF1F3B">
              <w:rPr>
                <w:sz w:val="20"/>
              </w:rPr>
              <w:sym w:font="Wingdings" w:char="F071"/>
            </w:r>
            <w:r w:rsidRPr="00FF1F3B">
              <w:rPr>
                <w:sz w:val="20"/>
              </w:rPr>
              <w:t xml:space="preserve"> Getiri beklentisi yerine, mümkün olan en düşük riski alarak, birikimimin değer kaybetmemesi öncelikli hedefimdir.</w:t>
            </w:r>
            <w:r w:rsidRPr="00FF1F3B">
              <w:rPr>
                <w:rFonts w:eastAsia="ヒラギノ明朝 Pro W3"/>
                <w:b/>
                <w:color w:val="00B050"/>
                <w:sz w:val="20"/>
              </w:rPr>
              <w:t xml:space="preserve"> </w:t>
            </w:r>
          </w:p>
        </w:tc>
        <w:tc>
          <w:tcPr>
            <w:tcW w:w="136" w:type="pct"/>
          </w:tcPr>
          <w:p w14:paraId="2324B3D0" w14:textId="77777777" w:rsidR="00E1031F" w:rsidRPr="00FF1F3B" w:rsidRDefault="00E1031F" w:rsidP="00467BD5">
            <w:pPr>
              <w:spacing w:after="0"/>
              <w:jc w:val="right"/>
              <w:rPr>
                <w:sz w:val="20"/>
              </w:rPr>
            </w:pPr>
            <w:r w:rsidRPr="00FF1F3B">
              <w:rPr>
                <w:sz w:val="20"/>
              </w:rPr>
              <w:t>0</w:t>
            </w:r>
          </w:p>
        </w:tc>
      </w:tr>
      <w:tr w:rsidR="00E1031F" w:rsidRPr="00FF1F3B" w14:paraId="67C67267" w14:textId="77777777" w:rsidTr="00467BD5">
        <w:tc>
          <w:tcPr>
            <w:tcW w:w="4864" w:type="pct"/>
          </w:tcPr>
          <w:p w14:paraId="3EF806CA" w14:textId="77777777" w:rsidR="00E1031F" w:rsidRPr="00FF1F3B" w:rsidRDefault="00E1031F" w:rsidP="00467BD5">
            <w:pPr>
              <w:spacing w:after="0"/>
              <w:rPr>
                <w:sz w:val="20"/>
              </w:rPr>
            </w:pPr>
            <w:r w:rsidRPr="00FF1F3B">
              <w:rPr>
                <w:sz w:val="20"/>
              </w:rPr>
              <w:sym w:font="Wingdings" w:char="F071"/>
            </w:r>
            <w:r w:rsidRPr="00FF1F3B">
              <w:rPr>
                <w:sz w:val="20"/>
              </w:rPr>
              <w:t xml:space="preserve"> Az da olsa düzenli bir getiri kazanmak ve bu yönde düşük risk almak isterim.</w:t>
            </w:r>
            <w:r w:rsidRPr="00FF1F3B">
              <w:rPr>
                <w:rFonts w:eastAsia="ヒラギノ明朝 Pro W3"/>
                <w:b/>
                <w:color w:val="70AD47" w:themeColor="accent6"/>
                <w:sz w:val="20"/>
              </w:rPr>
              <w:t xml:space="preserve"> </w:t>
            </w:r>
          </w:p>
        </w:tc>
        <w:tc>
          <w:tcPr>
            <w:tcW w:w="136" w:type="pct"/>
          </w:tcPr>
          <w:p w14:paraId="4C294EF2" w14:textId="77777777" w:rsidR="00E1031F" w:rsidRPr="00FF1F3B" w:rsidRDefault="00E1031F" w:rsidP="00467BD5">
            <w:pPr>
              <w:spacing w:after="0"/>
              <w:jc w:val="right"/>
              <w:rPr>
                <w:sz w:val="20"/>
              </w:rPr>
            </w:pPr>
            <w:r w:rsidRPr="00FF1F3B">
              <w:rPr>
                <w:sz w:val="20"/>
              </w:rPr>
              <w:t>2</w:t>
            </w:r>
          </w:p>
        </w:tc>
      </w:tr>
      <w:tr w:rsidR="00E1031F" w:rsidRPr="00FF1F3B" w14:paraId="2031A2B9" w14:textId="77777777" w:rsidTr="00467BD5">
        <w:tc>
          <w:tcPr>
            <w:tcW w:w="4864" w:type="pct"/>
          </w:tcPr>
          <w:p w14:paraId="431FC71D" w14:textId="77777777" w:rsidR="00E1031F" w:rsidRPr="00FF1F3B" w:rsidRDefault="00E1031F" w:rsidP="00467BD5">
            <w:pPr>
              <w:spacing w:after="0"/>
              <w:rPr>
                <w:sz w:val="20"/>
              </w:rPr>
            </w:pPr>
            <w:r w:rsidRPr="00FF1F3B">
              <w:rPr>
                <w:sz w:val="20"/>
              </w:rPr>
              <w:sym w:font="Wingdings" w:char="F071"/>
            </w:r>
            <w:r w:rsidRPr="00FF1F3B">
              <w:rPr>
                <w:sz w:val="20"/>
              </w:rPr>
              <w:t xml:space="preserve"> Makul bir getiri sağlamak için orta düzeyde bir risk almak isterim.</w:t>
            </w:r>
            <w:r w:rsidRPr="00FF1F3B">
              <w:rPr>
                <w:rFonts w:eastAsia="ヒラギノ明朝 Pro W3"/>
                <w:b/>
                <w:color w:val="00B050"/>
                <w:sz w:val="20"/>
              </w:rPr>
              <w:t xml:space="preserve"> </w:t>
            </w:r>
          </w:p>
        </w:tc>
        <w:tc>
          <w:tcPr>
            <w:tcW w:w="136" w:type="pct"/>
          </w:tcPr>
          <w:p w14:paraId="35267A61" w14:textId="77777777" w:rsidR="00E1031F" w:rsidRPr="00FF1F3B" w:rsidRDefault="00E1031F" w:rsidP="00467BD5">
            <w:pPr>
              <w:spacing w:after="0"/>
              <w:jc w:val="right"/>
              <w:rPr>
                <w:sz w:val="20"/>
              </w:rPr>
            </w:pPr>
            <w:r w:rsidRPr="00FF1F3B">
              <w:rPr>
                <w:sz w:val="20"/>
              </w:rPr>
              <w:t>4</w:t>
            </w:r>
          </w:p>
        </w:tc>
      </w:tr>
      <w:tr w:rsidR="00E1031F" w:rsidRPr="00FF1F3B" w14:paraId="5410A350" w14:textId="77777777" w:rsidTr="00467BD5">
        <w:tc>
          <w:tcPr>
            <w:tcW w:w="4864" w:type="pct"/>
          </w:tcPr>
          <w:p w14:paraId="2B3C51A0" w14:textId="77777777" w:rsidR="00E1031F" w:rsidRPr="00FF1F3B" w:rsidRDefault="00E1031F" w:rsidP="00467BD5">
            <w:pPr>
              <w:spacing w:after="0"/>
              <w:rPr>
                <w:sz w:val="20"/>
              </w:rPr>
            </w:pPr>
            <w:r w:rsidRPr="00FF1F3B">
              <w:rPr>
                <w:sz w:val="20"/>
              </w:rPr>
              <w:sym w:font="Wingdings" w:char="F071"/>
            </w:r>
            <w:r w:rsidRPr="00FF1F3B">
              <w:rPr>
                <w:sz w:val="20"/>
              </w:rPr>
              <w:t xml:space="preserve"> Birikimimi büyütmek öncelikli hedefimdir, kısa vadede meydana gelebilecek anapara kayıpları ve dalgalanmalar beni endişelendirmez.</w:t>
            </w:r>
          </w:p>
        </w:tc>
        <w:tc>
          <w:tcPr>
            <w:tcW w:w="136" w:type="pct"/>
          </w:tcPr>
          <w:p w14:paraId="4414265D" w14:textId="77777777" w:rsidR="00E1031F" w:rsidRPr="00FF1F3B" w:rsidRDefault="00E1031F" w:rsidP="00467BD5">
            <w:pPr>
              <w:spacing w:after="0"/>
              <w:jc w:val="right"/>
              <w:rPr>
                <w:sz w:val="20"/>
              </w:rPr>
            </w:pPr>
            <w:r w:rsidRPr="00FF1F3B">
              <w:rPr>
                <w:sz w:val="20"/>
              </w:rPr>
              <w:t>6</w:t>
            </w:r>
          </w:p>
        </w:tc>
      </w:tr>
      <w:tr w:rsidR="00E1031F" w:rsidRPr="00FF1F3B" w14:paraId="6C56115B" w14:textId="77777777" w:rsidTr="00467BD5">
        <w:tc>
          <w:tcPr>
            <w:tcW w:w="4864" w:type="pct"/>
          </w:tcPr>
          <w:p w14:paraId="1D5612A0" w14:textId="77777777" w:rsidR="00E1031F" w:rsidRPr="00FF1F3B" w:rsidRDefault="00E1031F" w:rsidP="00467BD5">
            <w:pPr>
              <w:spacing w:after="0"/>
              <w:rPr>
                <w:sz w:val="20"/>
              </w:rPr>
            </w:pPr>
            <w:r w:rsidRPr="00FF1F3B">
              <w:rPr>
                <w:sz w:val="20"/>
              </w:rPr>
              <w:sym w:font="Wingdings" w:char="F071"/>
            </w:r>
            <w:r w:rsidRPr="00FF1F3B">
              <w:rPr>
                <w:sz w:val="20"/>
              </w:rPr>
              <w:t xml:space="preserve"> Uzun vadede en yüksek getiriyi elde etmek isterim. Bunun için yüksek risk alabilirim.</w:t>
            </w:r>
          </w:p>
        </w:tc>
        <w:tc>
          <w:tcPr>
            <w:tcW w:w="136" w:type="pct"/>
          </w:tcPr>
          <w:p w14:paraId="0A154072" w14:textId="77777777" w:rsidR="00E1031F" w:rsidRPr="00FF1F3B" w:rsidRDefault="00E1031F" w:rsidP="00467BD5">
            <w:pPr>
              <w:spacing w:after="0"/>
              <w:jc w:val="right"/>
              <w:rPr>
                <w:sz w:val="20"/>
              </w:rPr>
            </w:pPr>
            <w:r w:rsidRPr="00FF1F3B">
              <w:rPr>
                <w:sz w:val="20"/>
              </w:rPr>
              <w:t>9</w:t>
            </w:r>
          </w:p>
        </w:tc>
      </w:tr>
    </w:tbl>
    <w:p w14:paraId="3CE4B5E3" w14:textId="77777777" w:rsidR="00E1031F" w:rsidRPr="00FF1F3B" w:rsidRDefault="00E1031F" w:rsidP="00E1031F">
      <w:pPr>
        <w:pBdr>
          <w:top w:val="single" w:sz="4" w:space="1" w:color="DEEAF6" w:themeColor="accent1" w:themeTint="33"/>
        </w:pBdr>
        <w:tabs>
          <w:tab w:val="left" w:pos="2640"/>
        </w:tabs>
        <w:spacing w:before="240" w:after="0"/>
        <w:rPr>
          <w:color w:val="5B9BD5" w:themeColor="accent1"/>
          <w:sz w:val="20"/>
        </w:rPr>
      </w:pPr>
      <w:r w:rsidRPr="00FF1F3B">
        <w:rPr>
          <w:b/>
          <w:color w:val="5B9BD5" w:themeColor="accent1"/>
          <w:sz w:val="20"/>
        </w:rPr>
        <w:t xml:space="preserve">Soru 4) </w:t>
      </w:r>
      <w:r w:rsidRPr="00FF1F3B">
        <w:rPr>
          <w:color w:val="5B9BD5" w:themeColor="accent1"/>
          <w:sz w:val="20"/>
        </w:rPr>
        <w:t>Kazanma veya kaybetme ihtimaliniz olan bir yıllık süreçte, 4 farklı yatırım seçeneğiniz olduğunu düşünelim. ¨100.000’lik birikiminiz için hangi fonu tercih edersiniz?</w:t>
      </w:r>
    </w:p>
    <w:tbl>
      <w:tblPr>
        <w:tblStyle w:val="TabloKlavuzu"/>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9"/>
        <w:gridCol w:w="328"/>
      </w:tblGrid>
      <w:tr w:rsidR="00E1031F" w:rsidRPr="00FF1F3B" w14:paraId="79EAC76C" w14:textId="77777777" w:rsidTr="00467BD5">
        <w:tc>
          <w:tcPr>
            <w:tcW w:w="4829" w:type="pct"/>
          </w:tcPr>
          <w:p w14:paraId="2D22999C" w14:textId="77777777" w:rsidR="00E1031F" w:rsidRPr="00FF1F3B" w:rsidRDefault="00E1031F" w:rsidP="00467BD5">
            <w:pPr>
              <w:spacing w:after="0"/>
              <w:rPr>
                <w:color w:val="44546A" w:themeColor="text2"/>
                <w:sz w:val="20"/>
              </w:rPr>
            </w:pPr>
            <w:r w:rsidRPr="00FF1F3B">
              <w:rPr>
                <w:sz w:val="20"/>
              </w:rPr>
              <w:sym w:font="Wingdings" w:char="F071"/>
            </w:r>
            <w:r w:rsidRPr="00FF1F3B">
              <w:rPr>
                <w:sz w:val="20"/>
              </w:rPr>
              <w:t xml:space="preserve"> </w:t>
            </w:r>
            <w:r w:rsidRPr="00FF1F3B">
              <w:rPr>
                <w:b/>
                <w:sz w:val="20"/>
              </w:rPr>
              <w:t xml:space="preserve">A Fonu: </w:t>
            </w:r>
            <w:r w:rsidRPr="00FF1F3B">
              <w:rPr>
                <w:sz w:val="20"/>
              </w:rPr>
              <w:t>%3 kazanç: ¨3.000 kazanç</w:t>
            </w:r>
          </w:p>
        </w:tc>
        <w:tc>
          <w:tcPr>
            <w:tcW w:w="171" w:type="pct"/>
          </w:tcPr>
          <w:p w14:paraId="236BCED7" w14:textId="77777777" w:rsidR="00E1031F" w:rsidRPr="00FF1F3B" w:rsidRDefault="00E1031F" w:rsidP="00467BD5">
            <w:pPr>
              <w:spacing w:after="0"/>
              <w:jc w:val="right"/>
              <w:rPr>
                <w:sz w:val="20"/>
              </w:rPr>
            </w:pPr>
            <w:r w:rsidRPr="00FF1F3B">
              <w:rPr>
                <w:sz w:val="20"/>
              </w:rPr>
              <w:t>0</w:t>
            </w:r>
          </w:p>
        </w:tc>
      </w:tr>
      <w:tr w:rsidR="00E1031F" w:rsidRPr="00FF1F3B" w14:paraId="2A0EDB54" w14:textId="77777777" w:rsidTr="00467BD5">
        <w:tc>
          <w:tcPr>
            <w:tcW w:w="4829" w:type="pct"/>
          </w:tcPr>
          <w:p w14:paraId="3EF178B7" w14:textId="77777777" w:rsidR="00E1031F" w:rsidRPr="00FF1F3B" w:rsidRDefault="00E1031F" w:rsidP="00467BD5">
            <w:pPr>
              <w:spacing w:after="0"/>
              <w:rPr>
                <w:sz w:val="20"/>
              </w:rPr>
            </w:pPr>
            <w:r w:rsidRPr="00FF1F3B">
              <w:rPr>
                <w:sz w:val="20"/>
              </w:rPr>
              <w:sym w:font="Wingdings" w:char="F071"/>
            </w:r>
            <w:r w:rsidRPr="00FF1F3B">
              <w:rPr>
                <w:sz w:val="20"/>
              </w:rPr>
              <w:t xml:space="preserve"> </w:t>
            </w:r>
            <w:r w:rsidRPr="00FF1F3B">
              <w:rPr>
                <w:b/>
                <w:sz w:val="20"/>
              </w:rPr>
              <w:t>B Fonu:</w:t>
            </w:r>
            <w:r w:rsidRPr="00FF1F3B">
              <w:rPr>
                <w:sz w:val="20"/>
              </w:rPr>
              <w:t xml:space="preserve"> %10 kazanç veya %3 kayıp ihtimali: ¨10.000 kazanç veya ¨3.000 kayıp </w:t>
            </w:r>
          </w:p>
        </w:tc>
        <w:tc>
          <w:tcPr>
            <w:tcW w:w="171" w:type="pct"/>
          </w:tcPr>
          <w:p w14:paraId="50B0CF55" w14:textId="77777777" w:rsidR="00E1031F" w:rsidRPr="00FF1F3B" w:rsidRDefault="00E1031F" w:rsidP="00467BD5">
            <w:pPr>
              <w:spacing w:after="0"/>
              <w:jc w:val="right"/>
              <w:rPr>
                <w:sz w:val="20"/>
              </w:rPr>
            </w:pPr>
            <w:r w:rsidRPr="00FF1F3B">
              <w:rPr>
                <w:sz w:val="20"/>
              </w:rPr>
              <w:t>3</w:t>
            </w:r>
          </w:p>
        </w:tc>
      </w:tr>
      <w:tr w:rsidR="00E1031F" w:rsidRPr="00FF1F3B" w14:paraId="1FC48BD9" w14:textId="77777777" w:rsidTr="00467BD5">
        <w:tc>
          <w:tcPr>
            <w:tcW w:w="4829" w:type="pct"/>
          </w:tcPr>
          <w:p w14:paraId="1700EB20" w14:textId="77777777" w:rsidR="00E1031F" w:rsidRPr="00FF1F3B" w:rsidRDefault="00E1031F" w:rsidP="00467BD5">
            <w:pPr>
              <w:spacing w:after="0"/>
              <w:rPr>
                <w:sz w:val="20"/>
              </w:rPr>
            </w:pPr>
            <w:r w:rsidRPr="00FF1F3B">
              <w:rPr>
                <w:sz w:val="20"/>
              </w:rPr>
              <w:sym w:font="Wingdings" w:char="F071"/>
            </w:r>
            <w:r w:rsidRPr="00FF1F3B">
              <w:rPr>
                <w:sz w:val="20"/>
              </w:rPr>
              <w:t xml:space="preserve"> </w:t>
            </w:r>
            <w:r w:rsidRPr="00FF1F3B">
              <w:rPr>
                <w:b/>
                <w:sz w:val="20"/>
              </w:rPr>
              <w:t>C Fonu:</w:t>
            </w:r>
            <w:r w:rsidRPr="00FF1F3B">
              <w:rPr>
                <w:sz w:val="20"/>
              </w:rPr>
              <w:t xml:space="preserve"> %25 kazanç veya %10 kayıp ihtimali: ¨25.000 kazanç veya ¨10.000 kayıp</w:t>
            </w:r>
          </w:p>
        </w:tc>
        <w:tc>
          <w:tcPr>
            <w:tcW w:w="171" w:type="pct"/>
          </w:tcPr>
          <w:p w14:paraId="1948FAA7" w14:textId="77777777" w:rsidR="00E1031F" w:rsidRPr="00FF1F3B" w:rsidRDefault="00E1031F" w:rsidP="00467BD5">
            <w:pPr>
              <w:spacing w:after="0"/>
              <w:jc w:val="right"/>
              <w:rPr>
                <w:sz w:val="20"/>
              </w:rPr>
            </w:pPr>
            <w:r w:rsidRPr="00FF1F3B">
              <w:rPr>
                <w:sz w:val="20"/>
              </w:rPr>
              <w:t>6</w:t>
            </w:r>
          </w:p>
        </w:tc>
      </w:tr>
      <w:tr w:rsidR="00E1031F" w:rsidRPr="00FF1F3B" w14:paraId="33CE9F83" w14:textId="77777777" w:rsidTr="00467BD5">
        <w:tc>
          <w:tcPr>
            <w:tcW w:w="4829" w:type="pct"/>
          </w:tcPr>
          <w:p w14:paraId="5235B9A1" w14:textId="77777777" w:rsidR="00E1031F" w:rsidRPr="00FF1F3B" w:rsidRDefault="00E1031F" w:rsidP="00467BD5">
            <w:pPr>
              <w:spacing w:after="0"/>
              <w:rPr>
                <w:sz w:val="20"/>
              </w:rPr>
            </w:pPr>
            <w:r w:rsidRPr="00FF1F3B">
              <w:rPr>
                <w:sz w:val="20"/>
              </w:rPr>
              <w:sym w:font="Wingdings" w:char="F071"/>
            </w:r>
            <w:r w:rsidRPr="00FF1F3B">
              <w:rPr>
                <w:sz w:val="20"/>
              </w:rPr>
              <w:t xml:space="preserve"> </w:t>
            </w:r>
            <w:r w:rsidRPr="00FF1F3B">
              <w:rPr>
                <w:b/>
                <w:sz w:val="20"/>
              </w:rPr>
              <w:t>D Fonu:</w:t>
            </w:r>
            <w:r w:rsidRPr="00FF1F3B">
              <w:rPr>
                <w:sz w:val="20"/>
              </w:rPr>
              <w:t xml:space="preserve"> %50 kazanç veya %20 kayıp ihtimali: ¨50.000 kazanç veya ¨20.000 kayıp</w:t>
            </w:r>
          </w:p>
        </w:tc>
        <w:tc>
          <w:tcPr>
            <w:tcW w:w="171" w:type="pct"/>
          </w:tcPr>
          <w:p w14:paraId="721F3F5C" w14:textId="77777777" w:rsidR="00E1031F" w:rsidRPr="00FF1F3B" w:rsidRDefault="00E1031F" w:rsidP="00467BD5">
            <w:pPr>
              <w:spacing w:after="0"/>
              <w:jc w:val="right"/>
              <w:rPr>
                <w:sz w:val="20"/>
              </w:rPr>
            </w:pPr>
            <w:r w:rsidRPr="00FF1F3B">
              <w:rPr>
                <w:sz w:val="20"/>
              </w:rPr>
              <w:t>9</w:t>
            </w:r>
          </w:p>
        </w:tc>
      </w:tr>
    </w:tbl>
    <w:p w14:paraId="18CA3E6E" w14:textId="77777777" w:rsidR="00E1031F" w:rsidRPr="00FF1F3B" w:rsidRDefault="00E1031F" w:rsidP="00E1031F">
      <w:pPr>
        <w:pBdr>
          <w:top w:val="single" w:sz="4" w:space="1" w:color="DEEAF6" w:themeColor="accent1" w:themeTint="33"/>
        </w:pBdr>
        <w:spacing w:before="240" w:after="0"/>
        <w:rPr>
          <w:color w:val="5B9BD5" w:themeColor="accent1"/>
          <w:sz w:val="20"/>
        </w:rPr>
      </w:pPr>
      <w:r w:rsidRPr="00FF1F3B">
        <w:rPr>
          <w:b/>
          <w:color w:val="5B9BD5" w:themeColor="accent1"/>
          <w:sz w:val="20"/>
        </w:rPr>
        <w:t xml:space="preserve">Soru 5) </w:t>
      </w:r>
      <w:r w:rsidRPr="00FF1F3B">
        <w:rPr>
          <w:color w:val="5B9BD5" w:themeColor="accent1"/>
          <w:sz w:val="20"/>
        </w:rPr>
        <w:t>¨10.000’lik emeklilik birikiminiz değer kaybederek ¨9.000’e düştü. Bu durumda;</w:t>
      </w:r>
    </w:p>
    <w:tbl>
      <w:tblPr>
        <w:tblStyle w:val="TabloKlavuzu"/>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9"/>
        <w:gridCol w:w="328"/>
      </w:tblGrid>
      <w:tr w:rsidR="00E1031F" w:rsidRPr="00FF1F3B" w14:paraId="6F9063BF" w14:textId="77777777" w:rsidTr="00467BD5">
        <w:tc>
          <w:tcPr>
            <w:tcW w:w="4864" w:type="pct"/>
          </w:tcPr>
          <w:p w14:paraId="21C9D3A3" w14:textId="77777777" w:rsidR="00E1031F" w:rsidRPr="00FF1F3B" w:rsidRDefault="00E1031F" w:rsidP="00467BD5">
            <w:pPr>
              <w:spacing w:after="0"/>
              <w:rPr>
                <w:color w:val="44546A" w:themeColor="text2"/>
                <w:sz w:val="20"/>
              </w:rPr>
            </w:pPr>
            <w:r w:rsidRPr="00FF1F3B">
              <w:rPr>
                <w:sz w:val="20"/>
              </w:rPr>
              <w:sym w:font="Wingdings" w:char="F071"/>
            </w:r>
            <w:r w:rsidRPr="00FF1F3B">
              <w:rPr>
                <w:sz w:val="20"/>
              </w:rPr>
              <w:t xml:space="preserve"> Paniklerim ve bütün fonlarımı satarım. Risk almamaya çalışırım.</w:t>
            </w:r>
          </w:p>
        </w:tc>
        <w:tc>
          <w:tcPr>
            <w:tcW w:w="136" w:type="pct"/>
          </w:tcPr>
          <w:p w14:paraId="56C8C73D" w14:textId="77777777" w:rsidR="00E1031F" w:rsidRPr="00FF1F3B" w:rsidRDefault="00E1031F" w:rsidP="00467BD5">
            <w:pPr>
              <w:spacing w:after="0"/>
              <w:rPr>
                <w:sz w:val="20"/>
              </w:rPr>
            </w:pPr>
            <w:r w:rsidRPr="00FF1F3B">
              <w:rPr>
                <w:sz w:val="20"/>
              </w:rPr>
              <w:t>0</w:t>
            </w:r>
          </w:p>
        </w:tc>
      </w:tr>
      <w:tr w:rsidR="00E1031F" w:rsidRPr="00FF1F3B" w14:paraId="017560DD" w14:textId="77777777" w:rsidTr="00467BD5">
        <w:tc>
          <w:tcPr>
            <w:tcW w:w="4864" w:type="pct"/>
          </w:tcPr>
          <w:p w14:paraId="114F8881" w14:textId="77777777" w:rsidR="00E1031F" w:rsidRPr="00FF1F3B" w:rsidRDefault="00E1031F" w:rsidP="00467BD5">
            <w:pPr>
              <w:spacing w:after="0"/>
              <w:rPr>
                <w:sz w:val="20"/>
              </w:rPr>
            </w:pPr>
            <w:r w:rsidRPr="00FF1F3B">
              <w:rPr>
                <w:sz w:val="20"/>
              </w:rPr>
              <w:sym w:font="Wingdings" w:char="F071"/>
            </w:r>
            <w:r w:rsidRPr="00FF1F3B">
              <w:rPr>
                <w:sz w:val="20"/>
              </w:rPr>
              <w:t xml:space="preserve"> Tedirgin olurum. Birikimimin bir kısmı için farklı ve daha güvenli fonlara geçiş yaparım.</w:t>
            </w:r>
          </w:p>
        </w:tc>
        <w:tc>
          <w:tcPr>
            <w:tcW w:w="136" w:type="pct"/>
          </w:tcPr>
          <w:p w14:paraId="333488EB" w14:textId="77777777" w:rsidR="00E1031F" w:rsidRPr="00FF1F3B" w:rsidRDefault="00E1031F" w:rsidP="00467BD5">
            <w:pPr>
              <w:spacing w:after="0"/>
              <w:rPr>
                <w:sz w:val="20"/>
              </w:rPr>
            </w:pPr>
            <w:r w:rsidRPr="00FF1F3B">
              <w:rPr>
                <w:sz w:val="20"/>
              </w:rPr>
              <w:t>2</w:t>
            </w:r>
          </w:p>
        </w:tc>
      </w:tr>
      <w:tr w:rsidR="00E1031F" w:rsidRPr="00FF1F3B" w14:paraId="63CB0341" w14:textId="77777777" w:rsidTr="00467BD5">
        <w:tc>
          <w:tcPr>
            <w:tcW w:w="4864" w:type="pct"/>
          </w:tcPr>
          <w:p w14:paraId="0F11A853" w14:textId="77777777" w:rsidR="00E1031F" w:rsidRPr="00FF1F3B" w:rsidRDefault="00E1031F" w:rsidP="00467BD5">
            <w:pPr>
              <w:spacing w:after="0"/>
              <w:rPr>
                <w:sz w:val="20"/>
              </w:rPr>
            </w:pPr>
            <w:r w:rsidRPr="00FF1F3B">
              <w:rPr>
                <w:sz w:val="20"/>
              </w:rPr>
              <w:sym w:font="Wingdings" w:char="F071"/>
            </w:r>
            <w:r w:rsidRPr="00FF1F3B">
              <w:rPr>
                <w:sz w:val="20"/>
              </w:rPr>
              <w:t xml:space="preserve"> Herhangi bir değişiklik yapmadan sabırlı bir şekilde beklerim. Birikimimin uzun vadede tekrar değer kazanacağını düşünürüm.</w:t>
            </w:r>
          </w:p>
        </w:tc>
        <w:tc>
          <w:tcPr>
            <w:tcW w:w="136" w:type="pct"/>
          </w:tcPr>
          <w:p w14:paraId="337327CF" w14:textId="77777777" w:rsidR="00E1031F" w:rsidRPr="00FF1F3B" w:rsidRDefault="00E1031F" w:rsidP="00467BD5">
            <w:pPr>
              <w:spacing w:after="0"/>
              <w:rPr>
                <w:sz w:val="20"/>
              </w:rPr>
            </w:pPr>
            <w:r w:rsidRPr="00FF1F3B">
              <w:rPr>
                <w:sz w:val="20"/>
              </w:rPr>
              <w:t>3</w:t>
            </w:r>
          </w:p>
        </w:tc>
      </w:tr>
      <w:tr w:rsidR="00E1031F" w:rsidRPr="00FF1F3B" w14:paraId="3CBE73A9" w14:textId="77777777" w:rsidTr="00467BD5">
        <w:tc>
          <w:tcPr>
            <w:tcW w:w="4864" w:type="pct"/>
          </w:tcPr>
          <w:p w14:paraId="7E48CF01" w14:textId="77777777" w:rsidR="00E1031F" w:rsidRPr="00FF1F3B" w:rsidRDefault="00E1031F" w:rsidP="00467BD5">
            <w:pPr>
              <w:spacing w:after="0"/>
              <w:rPr>
                <w:sz w:val="20"/>
              </w:rPr>
            </w:pPr>
            <w:r w:rsidRPr="00FF1F3B">
              <w:rPr>
                <w:sz w:val="20"/>
              </w:rPr>
              <w:lastRenderedPageBreak/>
              <w:sym w:font="Wingdings" w:char="F071"/>
            </w:r>
            <w:r w:rsidRPr="00FF1F3B">
              <w:rPr>
                <w:sz w:val="20"/>
              </w:rPr>
              <w:t xml:space="preserve"> Birikimimde düşmeye neden olan fonlara, fiyatları düşmüşken daha fazla ağırlık veririm. Düşük fiyatları fırsata çeviririm.</w:t>
            </w:r>
          </w:p>
        </w:tc>
        <w:tc>
          <w:tcPr>
            <w:tcW w:w="136" w:type="pct"/>
          </w:tcPr>
          <w:p w14:paraId="4A3A6195" w14:textId="77777777" w:rsidR="00E1031F" w:rsidRPr="00FF1F3B" w:rsidRDefault="00E1031F" w:rsidP="00467BD5">
            <w:pPr>
              <w:spacing w:after="0"/>
              <w:rPr>
                <w:sz w:val="20"/>
              </w:rPr>
            </w:pPr>
            <w:r w:rsidRPr="00FF1F3B">
              <w:rPr>
                <w:sz w:val="20"/>
              </w:rPr>
              <w:t>5</w:t>
            </w:r>
          </w:p>
        </w:tc>
      </w:tr>
    </w:tbl>
    <w:p w14:paraId="7167EEC3" w14:textId="77777777" w:rsidR="00E1031F" w:rsidRPr="00FF1F3B" w:rsidRDefault="00E1031F" w:rsidP="00E1031F">
      <w:pPr>
        <w:pBdr>
          <w:top w:val="single" w:sz="4" w:space="1" w:color="DEEAF6" w:themeColor="accent1" w:themeTint="33"/>
        </w:pBdr>
        <w:spacing w:before="240" w:after="0"/>
        <w:rPr>
          <w:b/>
          <w:color w:val="5B9BD5" w:themeColor="accent1"/>
          <w:sz w:val="20"/>
        </w:rPr>
      </w:pPr>
    </w:p>
    <w:p w14:paraId="3B3F9CE9" w14:textId="77777777" w:rsidR="00E1031F" w:rsidRPr="00FF1F3B" w:rsidRDefault="00E1031F" w:rsidP="00E1031F">
      <w:pPr>
        <w:pBdr>
          <w:top w:val="single" w:sz="4" w:space="1" w:color="DEEAF6" w:themeColor="accent1" w:themeTint="33"/>
        </w:pBdr>
        <w:spacing w:before="240" w:after="0"/>
        <w:rPr>
          <w:color w:val="5B9BD5" w:themeColor="accent1"/>
          <w:sz w:val="20"/>
        </w:rPr>
      </w:pPr>
      <w:r w:rsidRPr="00FF1F3B">
        <w:rPr>
          <w:b/>
          <w:color w:val="5B9BD5" w:themeColor="accent1"/>
          <w:sz w:val="20"/>
        </w:rPr>
        <w:t xml:space="preserve">Soru 6) </w:t>
      </w:r>
      <w:r w:rsidRPr="00FF1F3B">
        <w:rPr>
          <w:color w:val="5B9BD5" w:themeColor="accent1"/>
          <w:sz w:val="20"/>
        </w:rPr>
        <w:t>Sizin ya da ailenizin mali durumu hangi maddede özetlenmiştir?</w:t>
      </w:r>
    </w:p>
    <w:tbl>
      <w:tblPr>
        <w:tblStyle w:val="TabloKlavuzu"/>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9"/>
        <w:gridCol w:w="328"/>
      </w:tblGrid>
      <w:tr w:rsidR="00E1031F" w:rsidRPr="00FF1F3B" w14:paraId="595FD7A3" w14:textId="77777777" w:rsidTr="00467BD5">
        <w:tc>
          <w:tcPr>
            <w:tcW w:w="4820" w:type="pct"/>
          </w:tcPr>
          <w:p w14:paraId="12736A0B" w14:textId="77777777" w:rsidR="00E1031F" w:rsidRPr="00FF1F3B" w:rsidRDefault="00E1031F" w:rsidP="00467BD5">
            <w:pPr>
              <w:spacing w:after="0"/>
              <w:rPr>
                <w:sz w:val="20"/>
              </w:rPr>
            </w:pPr>
            <w:r w:rsidRPr="00FF1F3B">
              <w:rPr>
                <w:sz w:val="20"/>
              </w:rPr>
              <w:sym w:font="Wingdings" w:char="F071"/>
            </w:r>
            <w:r w:rsidRPr="00FF1F3B">
              <w:rPr>
                <w:sz w:val="20"/>
              </w:rPr>
              <w:t xml:space="preserve"> Hiç/çok az birikimim ve fazla miktarda borcum var.</w:t>
            </w:r>
          </w:p>
        </w:tc>
        <w:tc>
          <w:tcPr>
            <w:tcW w:w="180" w:type="pct"/>
          </w:tcPr>
          <w:p w14:paraId="70B7E1D7" w14:textId="77777777" w:rsidR="00E1031F" w:rsidRPr="00FF1F3B" w:rsidRDefault="00E1031F" w:rsidP="00467BD5">
            <w:pPr>
              <w:spacing w:after="0"/>
              <w:rPr>
                <w:sz w:val="20"/>
              </w:rPr>
            </w:pPr>
            <w:r w:rsidRPr="00FF1F3B">
              <w:rPr>
                <w:sz w:val="20"/>
              </w:rPr>
              <w:t>0</w:t>
            </w:r>
          </w:p>
        </w:tc>
      </w:tr>
      <w:tr w:rsidR="00E1031F" w:rsidRPr="00FF1F3B" w14:paraId="450A17BD" w14:textId="77777777" w:rsidTr="00467BD5">
        <w:tc>
          <w:tcPr>
            <w:tcW w:w="4820" w:type="pct"/>
          </w:tcPr>
          <w:p w14:paraId="4CE05CA9" w14:textId="77777777" w:rsidR="00E1031F" w:rsidRPr="00FF1F3B" w:rsidRDefault="00E1031F" w:rsidP="00467BD5">
            <w:pPr>
              <w:spacing w:after="0"/>
              <w:rPr>
                <w:sz w:val="20"/>
              </w:rPr>
            </w:pPr>
            <w:r w:rsidRPr="00FF1F3B">
              <w:rPr>
                <w:sz w:val="20"/>
              </w:rPr>
              <w:sym w:font="Wingdings" w:char="F071"/>
            </w:r>
            <w:r w:rsidRPr="00FF1F3B">
              <w:rPr>
                <w:sz w:val="20"/>
              </w:rPr>
              <w:t xml:space="preserve"> Bir miktar birikimim ve düzenli ödediğim borçlarım var.</w:t>
            </w:r>
          </w:p>
        </w:tc>
        <w:tc>
          <w:tcPr>
            <w:tcW w:w="180" w:type="pct"/>
          </w:tcPr>
          <w:p w14:paraId="564F8E11" w14:textId="77777777" w:rsidR="00E1031F" w:rsidRPr="00FF1F3B" w:rsidRDefault="00E1031F" w:rsidP="00467BD5">
            <w:pPr>
              <w:spacing w:after="0"/>
              <w:rPr>
                <w:sz w:val="20"/>
              </w:rPr>
            </w:pPr>
            <w:r w:rsidRPr="00FF1F3B">
              <w:rPr>
                <w:sz w:val="20"/>
              </w:rPr>
              <w:t>2</w:t>
            </w:r>
          </w:p>
        </w:tc>
      </w:tr>
      <w:tr w:rsidR="00E1031F" w:rsidRPr="00FF1F3B" w14:paraId="27DA32B4" w14:textId="77777777" w:rsidTr="00467BD5">
        <w:tc>
          <w:tcPr>
            <w:tcW w:w="4820" w:type="pct"/>
          </w:tcPr>
          <w:p w14:paraId="2F3D8747" w14:textId="77777777" w:rsidR="00E1031F" w:rsidRPr="00FF1F3B" w:rsidRDefault="00E1031F" w:rsidP="00467BD5">
            <w:pPr>
              <w:spacing w:after="0"/>
              <w:rPr>
                <w:sz w:val="20"/>
              </w:rPr>
            </w:pPr>
            <w:r w:rsidRPr="00FF1F3B">
              <w:rPr>
                <w:sz w:val="20"/>
              </w:rPr>
              <w:sym w:font="Wingdings" w:char="F071"/>
            </w:r>
            <w:r w:rsidRPr="00FF1F3B">
              <w:rPr>
                <w:sz w:val="20"/>
              </w:rPr>
              <w:t xml:space="preserve"> Düzenli olarak birikim yapabiliyorum ve borcum her an kapatılabilecek düzeyde.</w:t>
            </w:r>
          </w:p>
        </w:tc>
        <w:tc>
          <w:tcPr>
            <w:tcW w:w="180" w:type="pct"/>
          </w:tcPr>
          <w:p w14:paraId="667B6B8F" w14:textId="77777777" w:rsidR="00E1031F" w:rsidRPr="00FF1F3B" w:rsidRDefault="00E1031F" w:rsidP="00467BD5">
            <w:pPr>
              <w:spacing w:after="0"/>
              <w:rPr>
                <w:sz w:val="20"/>
              </w:rPr>
            </w:pPr>
            <w:r w:rsidRPr="00FF1F3B">
              <w:rPr>
                <w:sz w:val="20"/>
              </w:rPr>
              <w:t>3</w:t>
            </w:r>
          </w:p>
        </w:tc>
      </w:tr>
      <w:tr w:rsidR="00E1031F" w:rsidRPr="00FF1F3B" w14:paraId="08A19DCA" w14:textId="77777777" w:rsidTr="00467BD5">
        <w:tc>
          <w:tcPr>
            <w:tcW w:w="4820" w:type="pct"/>
          </w:tcPr>
          <w:p w14:paraId="78D7F07D" w14:textId="77777777" w:rsidR="00E1031F" w:rsidRPr="00FF1F3B" w:rsidRDefault="00E1031F" w:rsidP="00467BD5">
            <w:pPr>
              <w:spacing w:after="0"/>
              <w:rPr>
                <w:sz w:val="20"/>
              </w:rPr>
            </w:pPr>
            <w:r w:rsidRPr="00FF1F3B">
              <w:rPr>
                <w:sz w:val="20"/>
              </w:rPr>
              <w:sym w:font="Wingdings" w:char="F071"/>
            </w:r>
            <w:r w:rsidRPr="00FF1F3B">
              <w:rPr>
                <w:sz w:val="20"/>
              </w:rPr>
              <w:t xml:space="preserve"> Birikimlerim gayet iyi ve hiç borcum bulunmuyor.</w:t>
            </w:r>
          </w:p>
        </w:tc>
        <w:tc>
          <w:tcPr>
            <w:tcW w:w="180" w:type="pct"/>
          </w:tcPr>
          <w:p w14:paraId="0F31E818" w14:textId="77777777" w:rsidR="00E1031F" w:rsidRPr="00FF1F3B" w:rsidRDefault="00E1031F" w:rsidP="00467BD5">
            <w:pPr>
              <w:spacing w:after="0"/>
              <w:rPr>
                <w:sz w:val="20"/>
              </w:rPr>
            </w:pPr>
            <w:r w:rsidRPr="00FF1F3B">
              <w:rPr>
                <w:sz w:val="20"/>
              </w:rPr>
              <w:t>5</w:t>
            </w:r>
          </w:p>
        </w:tc>
      </w:tr>
    </w:tbl>
    <w:p w14:paraId="3B2F0348" w14:textId="77777777" w:rsidR="00E1031F" w:rsidRPr="00FF1F3B" w:rsidRDefault="00E1031F" w:rsidP="00E1031F">
      <w:pPr>
        <w:pBdr>
          <w:top w:val="single" w:sz="4" w:space="1" w:color="DEEAF6" w:themeColor="accent1" w:themeTint="33"/>
        </w:pBdr>
        <w:spacing w:before="240" w:after="0"/>
        <w:rPr>
          <w:color w:val="5B9BD5" w:themeColor="accent1"/>
          <w:sz w:val="20"/>
        </w:rPr>
      </w:pPr>
      <w:r w:rsidRPr="00FF1F3B">
        <w:rPr>
          <w:b/>
          <w:color w:val="5B9BD5" w:themeColor="accent1"/>
          <w:sz w:val="20"/>
        </w:rPr>
        <w:t xml:space="preserve">Soru 7) </w:t>
      </w:r>
      <w:r w:rsidRPr="00FF1F3B">
        <w:rPr>
          <w:color w:val="5B9BD5" w:themeColor="accent1"/>
          <w:sz w:val="20"/>
        </w:rPr>
        <w:t>Emeklilik dönemini düşündüğümüzde, yeteri kadar geliriniz olacağını düşünüyor musunuz?</w:t>
      </w:r>
    </w:p>
    <w:tbl>
      <w:tblPr>
        <w:tblStyle w:val="TabloKlavuzu"/>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9"/>
        <w:gridCol w:w="328"/>
      </w:tblGrid>
      <w:tr w:rsidR="00E1031F" w:rsidRPr="00FF1F3B" w14:paraId="4E8A18C0" w14:textId="77777777" w:rsidTr="00467BD5">
        <w:tc>
          <w:tcPr>
            <w:tcW w:w="4864" w:type="pct"/>
          </w:tcPr>
          <w:p w14:paraId="159DC424" w14:textId="77777777" w:rsidR="00E1031F" w:rsidRPr="00FF1F3B" w:rsidRDefault="00E1031F" w:rsidP="00467BD5">
            <w:pPr>
              <w:spacing w:after="0"/>
              <w:rPr>
                <w:sz w:val="20"/>
              </w:rPr>
            </w:pPr>
            <w:r w:rsidRPr="00FF1F3B">
              <w:rPr>
                <w:sz w:val="20"/>
              </w:rPr>
              <w:sym w:font="Wingdings" w:char="F071"/>
            </w:r>
            <w:r w:rsidRPr="00FF1F3B">
              <w:rPr>
                <w:sz w:val="20"/>
              </w:rPr>
              <w:t xml:space="preserve"> SGK’dan emekliliğim yok, BES dışında başka bir gelir beklentim yok.</w:t>
            </w:r>
          </w:p>
        </w:tc>
        <w:tc>
          <w:tcPr>
            <w:tcW w:w="136" w:type="pct"/>
          </w:tcPr>
          <w:p w14:paraId="607A4A87" w14:textId="77777777" w:rsidR="00E1031F" w:rsidRPr="00FF1F3B" w:rsidRDefault="00E1031F" w:rsidP="00467BD5">
            <w:pPr>
              <w:spacing w:after="0"/>
              <w:rPr>
                <w:sz w:val="20"/>
              </w:rPr>
            </w:pPr>
            <w:r w:rsidRPr="00FF1F3B">
              <w:rPr>
                <w:sz w:val="20"/>
              </w:rPr>
              <w:t>0</w:t>
            </w:r>
          </w:p>
        </w:tc>
      </w:tr>
      <w:tr w:rsidR="00E1031F" w:rsidRPr="00FF1F3B" w14:paraId="0EC339AB" w14:textId="77777777" w:rsidTr="00467BD5">
        <w:tc>
          <w:tcPr>
            <w:tcW w:w="4864" w:type="pct"/>
          </w:tcPr>
          <w:p w14:paraId="22E45352" w14:textId="77777777" w:rsidR="00E1031F" w:rsidRPr="00FF1F3B" w:rsidRDefault="00E1031F" w:rsidP="00467BD5">
            <w:pPr>
              <w:spacing w:after="0"/>
              <w:rPr>
                <w:sz w:val="20"/>
              </w:rPr>
            </w:pPr>
            <w:r w:rsidRPr="00FF1F3B">
              <w:rPr>
                <w:sz w:val="20"/>
              </w:rPr>
              <w:sym w:font="Wingdings" w:char="F071"/>
            </w:r>
            <w:r w:rsidRPr="00FF1F3B">
              <w:rPr>
                <w:sz w:val="20"/>
              </w:rPr>
              <w:t xml:space="preserve"> Eşimin SGK’dan alacağı emeklilik maaşı dışında başkaca bir güvencem yok.</w:t>
            </w:r>
          </w:p>
        </w:tc>
        <w:tc>
          <w:tcPr>
            <w:tcW w:w="136" w:type="pct"/>
          </w:tcPr>
          <w:p w14:paraId="2C5D34E7" w14:textId="77777777" w:rsidR="00E1031F" w:rsidRPr="00FF1F3B" w:rsidRDefault="00E1031F" w:rsidP="00467BD5">
            <w:pPr>
              <w:spacing w:after="0"/>
              <w:rPr>
                <w:sz w:val="20"/>
              </w:rPr>
            </w:pPr>
            <w:r w:rsidRPr="00FF1F3B">
              <w:rPr>
                <w:sz w:val="20"/>
              </w:rPr>
              <w:t>2</w:t>
            </w:r>
          </w:p>
        </w:tc>
      </w:tr>
      <w:tr w:rsidR="00E1031F" w:rsidRPr="00FF1F3B" w14:paraId="1BF10A48" w14:textId="77777777" w:rsidTr="00467BD5">
        <w:tc>
          <w:tcPr>
            <w:tcW w:w="4864" w:type="pct"/>
          </w:tcPr>
          <w:p w14:paraId="72880DFD" w14:textId="77777777" w:rsidR="00E1031F" w:rsidRPr="00FF1F3B" w:rsidRDefault="00E1031F" w:rsidP="00467BD5">
            <w:pPr>
              <w:spacing w:after="0"/>
              <w:rPr>
                <w:sz w:val="20"/>
              </w:rPr>
            </w:pPr>
            <w:r w:rsidRPr="00FF1F3B">
              <w:rPr>
                <w:sz w:val="20"/>
              </w:rPr>
              <w:sym w:font="Wingdings" w:char="F071"/>
            </w:r>
            <w:r w:rsidRPr="00FF1F3B">
              <w:rPr>
                <w:sz w:val="20"/>
              </w:rPr>
              <w:t xml:space="preserve"> SGK’dan alacağım emeklilik maaşı dışında başkaca bir güvencem yok.</w:t>
            </w:r>
          </w:p>
        </w:tc>
        <w:tc>
          <w:tcPr>
            <w:tcW w:w="136" w:type="pct"/>
          </w:tcPr>
          <w:p w14:paraId="688D9DF1" w14:textId="77777777" w:rsidR="00E1031F" w:rsidRPr="00FF1F3B" w:rsidRDefault="00E1031F" w:rsidP="00467BD5">
            <w:pPr>
              <w:spacing w:after="0"/>
              <w:rPr>
                <w:sz w:val="20"/>
              </w:rPr>
            </w:pPr>
            <w:r w:rsidRPr="00FF1F3B">
              <w:rPr>
                <w:sz w:val="20"/>
              </w:rPr>
              <w:t>3</w:t>
            </w:r>
          </w:p>
        </w:tc>
      </w:tr>
      <w:tr w:rsidR="00E1031F" w:rsidRPr="00FF1F3B" w14:paraId="5FF5B851" w14:textId="77777777" w:rsidTr="00467BD5">
        <w:tc>
          <w:tcPr>
            <w:tcW w:w="4864" w:type="pct"/>
          </w:tcPr>
          <w:p w14:paraId="09243CEF" w14:textId="77777777" w:rsidR="00E1031F" w:rsidRPr="00FF1F3B" w:rsidRDefault="00E1031F" w:rsidP="00467BD5">
            <w:pPr>
              <w:spacing w:after="0"/>
              <w:rPr>
                <w:sz w:val="20"/>
              </w:rPr>
            </w:pPr>
            <w:r w:rsidRPr="00FF1F3B">
              <w:rPr>
                <w:sz w:val="20"/>
              </w:rPr>
              <w:sym w:font="Wingdings" w:char="F071"/>
            </w:r>
            <w:r w:rsidRPr="00FF1F3B">
              <w:rPr>
                <w:sz w:val="20"/>
              </w:rPr>
              <w:t xml:space="preserve"> SGK’dan alacağım emeklilik maaşının yanısıra, gayrimenkul yatırımlarımdan ek gelir bekliyorum.</w:t>
            </w:r>
          </w:p>
        </w:tc>
        <w:tc>
          <w:tcPr>
            <w:tcW w:w="136" w:type="pct"/>
          </w:tcPr>
          <w:p w14:paraId="4E4248F5" w14:textId="77777777" w:rsidR="00E1031F" w:rsidRPr="00FF1F3B" w:rsidRDefault="00E1031F" w:rsidP="00467BD5">
            <w:pPr>
              <w:spacing w:after="0"/>
              <w:rPr>
                <w:sz w:val="20"/>
              </w:rPr>
            </w:pPr>
            <w:r w:rsidRPr="00FF1F3B">
              <w:rPr>
                <w:sz w:val="20"/>
              </w:rPr>
              <w:t>4</w:t>
            </w:r>
          </w:p>
        </w:tc>
      </w:tr>
      <w:tr w:rsidR="00E1031F" w:rsidRPr="00FF1F3B" w14:paraId="1154668D" w14:textId="77777777" w:rsidTr="00467BD5">
        <w:tc>
          <w:tcPr>
            <w:tcW w:w="4864" w:type="pct"/>
          </w:tcPr>
          <w:p w14:paraId="70ACE90B" w14:textId="77777777" w:rsidR="00E1031F" w:rsidRPr="00FF1F3B" w:rsidRDefault="00E1031F" w:rsidP="00467BD5">
            <w:pPr>
              <w:spacing w:after="0"/>
              <w:rPr>
                <w:color w:val="44546A" w:themeColor="text2"/>
                <w:sz w:val="20"/>
              </w:rPr>
            </w:pPr>
            <w:r w:rsidRPr="00FF1F3B">
              <w:rPr>
                <w:sz w:val="20"/>
              </w:rPr>
              <w:sym w:font="Wingdings" w:char="F071"/>
            </w:r>
            <w:r w:rsidRPr="00FF1F3B">
              <w:rPr>
                <w:sz w:val="20"/>
              </w:rPr>
              <w:t xml:space="preserve"> Başkaca finansal yatırımlarım veya başka emeklilik sistemlerinde üyeliklerim var.</w:t>
            </w:r>
          </w:p>
        </w:tc>
        <w:tc>
          <w:tcPr>
            <w:tcW w:w="136" w:type="pct"/>
          </w:tcPr>
          <w:p w14:paraId="3475413C" w14:textId="77777777" w:rsidR="00E1031F" w:rsidRPr="00FF1F3B" w:rsidRDefault="00E1031F" w:rsidP="00467BD5">
            <w:pPr>
              <w:spacing w:after="0"/>
              <w:rPr>
                <w:sz w:val="20"/>
              </w:rPr>
            </w:pPr>
            <w:r w:rsidRPr="00FF1F3B">
              <w:rPr>
                <w:sz w:val="20"/>
              </w:rPr>
              <w:t>6</w:t>
            </w:r>
          </w:p>
        </w:tc>
      </w:tr>
    </w:tbl>
    <w:p w14:paraId="6DEEFB33" w14:textId="77777777" w:rsidR="00E1031F" w:rsidRPr="00FF1F3B" w:rsidRDefault="00E1031F" w:rsidP="00E1031F">
      <w:pPr>
        <w:pBdr>
          <w:top w:val="single" w:sz="4" w:space="1" w:color="DEEAF6" w:themeColor="accent1" w:themeTint="33"/>
        </w:pBdr>
        <w:spacing w:before="240" w:after="0"/>
        <w:rPr>
          <w:color w:val="5B9BD5" w:themeColor="accent1"/>
          <w:sz w:val="20"/>
        </w:rPr>
      </w:pPr>
      <w:r w:rsidRPr="00FF1F3B">
        <w:rPr>
          <w:b/>
          <w:color w:val="5B9BD5" w:themeColor="accent1"/>
          <w:sz w:val="20"/>
        </w:rPr>
        <w:t xml:space="preserve">Soru 8) </w:t>
      </w:r>
      <w:r w:rsidRPr="00FF1F3B">
        <w:rPr>
          <w:color w:val="5B9BD5" w:themeColor="accent1"/>
          <w:sz w:val="20"/>
        </w:rPr>
        <w:t>Yatırımınızın faiz içerip içermemesi sizin için önemli midir?</w:t>
      </w:r>
      <w:r w:rsidRPr="00FF1F3B">
        <w:rPr>
          <w:rFonts w:eastAsia="ヒラギノ明朝 Pro W3"/>
          <w:b/>
          <w:color w:val="FF0000"/>
          <w:sz w:val="20"/>
        </w:rPr>
        <w:t xml:space="preserve"> </w:t>
      </w:r>
    </w:p>
    <w:tbl>
      <w:tblPr>
        <w:tblStyle w:val="TabloKlavuzu"/>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E1031F" w:rsidRPr="00FF1F3B" w14:paraId="0240F4BE" w14:textId="77777777" w:rsidTr="00467BD5">
        <w:tc>
          <w:tcPr>
            <w:tcW w:w="9356" w:type="dxa"/>
          </w:tcPr>
          <w:p w14:paraId="0427B46A" w14:textId="77777777" w:rsidR="00E1031F" w:rsidRPr="00FF1F3B" w:rsidRDefault="00E1031F" w:rsidP="00467BD5">
            <w:pPr>
              <w:spacing w:after="0"/>
              <w:rPr>
                <w:color w:val="44546A" w:themeColor="text2"/>
                <w:sz w:val="20"/>
              </w:rPr>
            </w:pPr>
            <w:r w:rsidRPr="00FF1F3B">
              <w:rPr>
                <w:sz w:val="20"/>
              </w:rPr>
              <w:sym w:font="Wingdings" w:char="F071"/>
            </w:r>
            <w:r w:rsidRPr="00FF1F3B">
              <w:rPr>
                <w:sz w:val="20"/>
              </w:rPr>
              <w:t xml:space="preserve"> Evet, faiz içermemesini tercih ederim.</w:t>
            </w:r>
          </w:p>
        </w:tc>
      </w:tr>
      <w:tr w:rsidR="00E1031F" w:rsidRPr="00FF1F3B" w14:paraId="5B2AEB63" w14:textId="77777777" w:rsidTr="00467BD5">
        <w:tc>
          <w:tcPr>
            <w:tcW w:w="9356" w:type="dxa"/>
          </w:tcPr>
          <w:p w14:paraId="10F9D346" w14:textId="77777777" w:rsidR="00E1031F" w:rsidRPr="00FF1F3B" w:rsidRDefault="00E1031F" w:rsidP="00467BD5">
            <w:pPr>
              <w:spacing w:after="0"/>
              <w:rPr>
                <w:color w:val="44546A" w:themeColor="text2"/>
                <w:sz w:val="20"/>
              </w:rPr>
            </w:pPr>
            <w:r w:rsidRPr="00FF1F3B">
              <w:rPr>
                <w:sz w:val="20"/>
              </w:rPr>
              <w:sym w:font="Wingdings" w:char="F071"/>
            </w:r>
            <w:r w:rsidRPr="00FF1F3B">
              <w:rPr>
                <w:sz w:val="20"/>
              </w:rPr>
              <w:t xml:space="preserve"> Hayır, önemli değildir.</w:t>
            </w:r>
          </w:p>
        </w:tc>
      </w:tr>
    </w:tbl>
    <w:p w14:paraId="18952656" w14:textId="77777777" w:rsidR="00E1031F" w:rsidRPr="00FF1F3B" w:rsidRDefault="00E1031F" w:rsidP="00E1031F">
      <w:pPr>
        <w:spacing w:after="0"/>
        <w:rPr>
          <w:sz w:val="20"/>
        </w:rPr>
      </w:pPr>
    </w:p>
    <w:p w14:paraId="2CEC5DE7" w14:textId="77777777" w:rsidR="00E1031F" w:rsidRPr="00FF1F3B" w:rsidRDefault="00E1031F" w:rsidP="00E1031F">
      <w:pPr>
        <w:spacing w:after="0"/>
        <w:rPr>
          <w:sz w:val="20"/>
        </w:rPr>
      </w:pPr>
      <w:r w:rsidRPr="00FF1F3B">
        <w:rPr>
          <w:sz w:val="20"/>
        </w:rPr>
        <w:br w:type="page"/>
      </w:r>
    </w:p>
    <w:p w14:paraId="02DB244A" w14:textId="77777777" w:rsidR="00E1031F" w:rsidRPr="00FF1F3B" w:rsidRDefault="00E1031F" w:rsidP="00E1031F">
      <w:pPr>
        <w:pBdr>
          <w:top w:val="single" w:sz="4" w:space="1" w:color="2E74B5" w:themeColor="accent1" w:themeShade="BF"/>
          <w:bottom w:val="single" w:sz="4" w:space="1" w:color="BDD6EE" w:themeColor="accent1" w:themeTint="66"/>
        </w:pBdr>
        <w:shd w:val="clear" w:color="auto" w:fill="DEEAF6" w:themeFill="accent1" w:themeFillTint="33"/>
        <w:spacing w:after="0"/>
        <w:rPr>
          <w:b/>
          <w:color w:val="2E74B5" w:themeColor="accent1" w:themeShade="BF"/>
          <w:sz w:val="20"/>
        </w:rPr>
      </w:pPr>
      <w:r w:rsidRPr="00FF1F3B">
        <w:rPr>
          <w:b/>
          <w:color w:val="2E74B5" w:themeColor="accent1" w:themeShade="BF"/>
          <w:sz w:val="20"/>
        </w:rPr>
        <w:lastRenderedPageBreak/>
        <w:t>Katılımcının Risk Profili</w:t>
      </w:r>
    </w:p>
    <w:p w14:paraId="2C0BD54B" w14:textId="77777777" w:rsidR="00E1031F" w:rsidRPr="00FF1F3B" w:rsidRDefault="00E1031F" w:rsidP="00E1031F">
      <w:pPr>
        <w:spacing w:after="0"/>
        <w:rPr>
          <w:color w:val="44546A" w:themeColor="text2"/>
          <w:sz w:val="20"/>
        </w:rPr>
      </w:pPr>
    </w:p>
    <w:p w14:paraId="5D0270BE" w14:textId="77777777" w:rsidR="00E1031F" w:rsidRPr="00FF1F3B" w:rsidRDefault="00E1031F" w:rsidP="00E1031F">
      <w:pPr>
        <w:pBdr>
          <w:top w:val="single" w:sz="4" w:space="1" w:color="DEEAF6" w:themeColor="accent1" w:themeTint="33"/>
        </w:pBdr>
        <w:spacing w:after="0"/>
        <w:rPr>
          <w:b/>
          <w:color w:val="5B9BD5" w:themeColor="accent1"/>
          <w:sz w:val="20"/>
        </w:rPr>
      </w:pPr>
      <w:r w:rsidRPr="00FF1F3B">
        <w:rPr>
          <w:b/>
          <w:color w:val="5B9BD5" w:themeColor="accent1"/>
          <w:sz w:val="20"/>
        </w:rPr>
        <w:t>Düşük Risk (0-15 puan)</w:t>
      </w:r>
    </w:p>
    <w:p w14:paraId="41AC1957" w14:textId="77777777" w:rsidR="00E1031F" w:rsidRPr="00FF1F3B" w:rsidRDefault="00E1031F" w:rsidP="00E1031F">
      <w:pPr>
        <w:spacing w:after="0"/>
        <w:rPr>
          <w:sz w:val="20"/>
        </w:rPr>
      </w:pPr>
      <w:r w:rsidRPr="00FF1F3B">
        <w:rPr>
          <w:sz w:val="20"/>
        </w:rPr>
        <w:t xml:space="preserve">Düşük risk profilinde bir katılımcısınız. Yatırım riski almak veya birikiminizde dalgalanma yaşamak istemiyorsunuz. Öncelikli hedefiniz anaparanızı korumak ve bunun için getiriden mahrum kalmayı da göze alıyorsunuz. </w:t>
      </w:r>
    </w:p>
    <w:p w14:paraId="0255032A" w14:textId="77777777" w:rsidR="00E1031F" w:rsidRPr="00FF1F3B" w:rsidRDefault="00E1031F" w:rsidP="00E1031F">
      <w:pPr>
        <w:spacing w:after="0"/>
        <w:rPr>
          <w:sz w:val="20"/>
        </w:rPr>
      </w:pPr>
      <w:r w:rsidRPr="00FF1F3B">
        <w:rPr>
          <w:sz w:val="20"/>
        </w:rPr>
        <w:t>Tarafınıza önerilecek düşük risk profilindeki fonlar, 1-2 yıllık yatırım dönemi hedefleyen katılımcılar için idealdir. Daha uzun süreli yatırım dönemi hedefleyen katılımcıların daha fazla getiri elde etmek için orta risk profilindeki fonları tercih etmesi uygun olabilir.</w:t>
      </w:r>
    </w:p>
    <w:p w14:paraId="12670C98" w14:textId="77777777" w:rsidR="00E1031F" w:rsidRPr="00FF1F3B" w:rsidRDefault="00E1031F" w:rsidP="00E1031F">
      <w:pPr>
        <w:pBdr>
          <w:top w:val="single" w:sz="4" w:space="1" w:color="DEEAF6" w:themeColor="accent1" w:themeTint="33"/>
        </w:pBdr>
        <w:spacing w:after="0"/>
        <w:rPr>
          <w:b/>
          <w:color w:val="5B9BD5" w:themeColor="accent1"/>
          <w:sz w:val="20"/>
        </w:rPr>
      </w:pPr>
      <w:r w:rsidRPr="00FF1F3B">
        <w:rPr>
          <w:b/>
          <w:color w:val="5B9BD5" w:themeColor="accent1"/>
          <w:sz w:val="20"/>
        </w:rPr>
        <w:t>Orta Risk (16-23 puan)</w:t>
      </w:r>
    </w:p>
    <w:p w14:paraId="165AEEC0" w14:textId="77777777" w:rsidR="00E1031F" w:rsidRPr="00FF1F3B" w:rsidRDefault="00E1031F" w:rsidP="00E1031F">
      <w:pPr>
        <w:spacing w:after="0"/>
        <w:rPr>
          <w:sz w:val="20"/>
        </w:rPr>
      </w:pPr>
      <w:r w:rsidRPr="00FF1F3B">
        <w:rPr>
          <w:sz w:val="20"/>
        </w:rPr>
        <w:t>Yatırım konularına kısmen hakim olan orta risk profilinde bir katılımcısınız. Önceliğiniz</w:t>
      </w:r>
      <w:r w:rsidRPr="00FF1F3B">
        <w:rPr>
          <w:color w:val="FF0000"/>
          <w:sz w:val="20"/>
        </w:rPr>
        <w:t>,</w:t>
      </w:r>
      <w:r w:rsidRPr="00FF1F3B">
        <w:rPr>
          <w:sz w:val="20"/>
        </w:rPr>
        <w:t xml:space="preserve"> paranızın değer kaybetmemesi olmakla birlikte güvende hissettiğiniz kadar risk alma eğiliminiz bulunuyor.</w:t>
      </w:r>
    </w:p>
    <w:p w14:paraId="398609D3" w14:textId="77777777" w:rsidR="00E1031F" w:rsidRPr="00FF1F3B" w:rsidRDefault="00E1031F" w:rsidP="00E1031F">
      <w:pPr>
        <w:spacing w:after="0"/>
        <w:rPr>
          <w:sz w:val="20"/>
        </w:rPr>
      </w:pPr>
      <w:r w:rsidRPr="00FF1F3B">
        <w:rPr>
          <w:sz w:val="20"/>
        </w:rPr>
        <w:t>Tarafınıza önerilecek orta risk profilindeki fonlar, 3-4 yıllık yatırım dönemi hedefleyen katılımcılar için idealdir. Daha uzun süreli yatırım dönemi hedefleyen katılımcıların daha fazla getiri elde etmek için yüksek risk profilindeki fonu; daha kısa süreli yatırım dönemi hedefleyen katılımcıların ise düşük risk profilindeki fonu tercih etmesi uygun olabilir.</w:t>
      </w:r>
    </w:p>
    <w:p w14:paraId="6633C7D4" w14:textId="77777777" w:rsidR="00E1031F" w:rsidRPr="00FF1F3B" w:rsidRDefault="00E1031F" w:rsidP="00E1031F">
      <w:pPr>
        <w:pBdr>
          <w:top w:val="single" w:sz="4" w:space="1" w:color="DEEAF6" w:themeColor="accent1" w:themeTint="33"/>
        </w:pBdr>
        <w:spacing w:after="0"/>
        <w:rPr>
          <w:b/>
          <w:color w:val="5B9BD5" w:themeColor="accent1"/>
          <w:sz w:val="20"/>
        </w:rPr>
      </w:pPr>
      <w:r w:rsidRPr="00FF1F3B">
        <w:rPr>
          <w:b/>
          <w:color w:val="5B9BD5" w:themeColor="accent1"/>
          <w:sz w:val="20"/>
        </w:rPr>
        <w:t>Yüksek Risk (24-32 puan)</w:t>
      </w:r>
    </w:p>
    <w:p w14:paraId="6B860A99" w14:textId="77777777" w:rsidR="00E1031F" w:rsidRPr="00FF1F3B" w:rsidRDefault="00E1031F" w:rsidP="00E1031F">
      <w:pPr>
        <w:spacing w:after="0"/>
        <w:rPr>
          <w:sz w:val="20"/>
        </w:rPr>
      </w:pPr>
      <w:r w:rsidRPr="00FF1F3B">
        <w:rPr>
          <w:sz w:val="20"/>
        </w:rPr>
        <w:t xml:space="preserve">Risk profiliniz, birikiminizi büyütmek için dönemsel riskleri üstlenebileceğinizi göstermektedir. </w:t>
      </w:r>
    </w:p>
    <w:p w14:paraId="10516FB8" w14:textId="77777777" w:rsidR="00E1031F" w:rsidRPr="00FF1F3B" w:rsidRDefault="00E1031F" w:rsidP="00E1031F">
      <w:pPr>
        <w:spacing w:after="0"/>
        <w:rPr>
          <w:sz w:val="20"/>
        </w:rPr>
      </w:pPr>
      <w:r w:rsidRPr="00FF1F3B">
        <w:rPr>
          <w:sz w:val="20"/>
        </w:rPr>
        <w:t>Tarafınıza önerilecek yüksek risk profilindeki fonlar, 5-6 yıllık yatırım dönemi hedefleyen katılımcılar için idealdir. Daha uzun süreli yatırım dönemi hedefleyen katılımcıların daha fazla getiri elde etmek için çok yüksek risk profilindeki fonu; daha kısa süreli yatırım dönemi hedefleyen katılımcıların ise orta risk profilindeki fonu tercih etmesi uygun olabilir.</w:t>
      </w:r>
    </w:p>
    <w:p w14:paraId="1F379B1F" w14:textId="77777777" w:rsidR="00E1031F" w:rsidRPr="00FF1F3B" w:rsidRDefault="00E1031F" w:rsidP="00E1031F">
      <w:pPr>
        <w:pBdr>
          <w:top w:val="single" w:sz="4" w:space="1" w:color="DEEAF6" w:themeColor="accent1" w:themeTint="33"/>
        </w:pBdr>
        <w:spacing w:after="0"/>
        <w:rPr>
          <w:b/>
          <w:color w:val="5B9BD5" w:themeColor="accent1"/>
          <w:sz w:val="20"/>
        </w:rPr>
      </w:pPr>
      <w:r w:rsidRPr="00FF1F3B">
        <w:rPr>
          <w:b/>
          <w:color w:val="5B9BD5" w:themeColor="accent1"/>
          <w:sz w:val="20"/>
        </w:rPr>
        <w:t>Çok Yüksek Risk (33-47 puan)</w:t>
      </w:r>
    </w:p>
    <w:p w14:paraId="3346AD5C" w14:textId="77777777" w:rsidR="00E1031F" w:rsidRPr="00FF1F3B" w:rsidRDefault="00E1031F" w:rsidP="00E1031F">
      <w:pPr>
        <w:spacing w:after="0"/>
        <w:rPr>
          <w:sz w:val="20"/>
        </w:rPr>
      </w:pPr>
      <w:r w:rsidRPr="00FF1F3B">
        <w:rPr>
          <w:sz w:val="20"/>
        </w:rPr>
        <w:t>Çok yüksek risk profilindeki bir katılımcısınız. Getiri sağlamak sizin için önemli ve bunun için risk almaya açıksınız.</w:t>
      </w:r>
    </w:p>
    <w:p w14:paraId="397565A2" w14:textId="77777777" w:rsidR="00E1031F" w:rsidRPr="00FF1F3B" w:rsidRDefault="00E1031F" w:rsidP="00E1031F">
      <w:pPr>
        <w:spacing w:after="0"/>
        <w:rPr>
          <w:sz w:val="20"/>
        </w:rPr>
      </w:pPr>
      <w:r w:rsidRPr="00FF1F3B">
        <w:rPr>
          <w:sz w:val="20"/>
        </w:rPr>
        <w:t>Tarafınıza önerilecek çok yüksek risk profilindeki fonlar, 7 yıl veya daha uzun süreli yatırım dönemi hedefleyen katılımcılar için idealdir. Daha kısa süreli yatırım dönemi hedefleyen katılımcıların ise yüksek risk profilindeki fonu tercih etmesi uygun olabilir.</w:t>
      </w:r>
    </w:p>
    <w:p w14:paraId="67C8CF11" w14:textId="77777777" w:rsidR="00E1031F" w:rsidRPr="00FF1F3B" w:rsidRDefault="00E1031F" w:rsidP="00E1031F">
      <w:pPr>
        <w:spacing w:after="0"/>
        <w:rPr>
          <w:sz w:val="20"/>
        </w:rPr>
      </w:pPr>
    </w:p>
    <w:p w14:paraId="1DBCA980" w14:textId="77777777" w:rsidR="00E1031F" w:rsidRPr="00FF1F3B" w:rsidRDefault="00E1031F" w:rsidP="00E1031F">
      <w:pPr>
        <w:pBdr>
          <w:top w:val="single" w:sz="4" w:space="1" w:color="2E74B5" w:themeColor="accent1" w:themeShade="BF"/>
          <w:bottom w:val="single" w:sz="4" w:space="1" w:color="BDD6EE" w:themeColor="accent1" w:themeTint="66"/>
        </w:pBdr>
        <w:shd w:val="clear" w:color="auto" w:fill="DEEAF6" w:themeFill="accent1" w:themeFillTint="33"/>
        <w:spacing w:after="0"/>
        <w:rPr>
          <w:b/>
          <w:color w:val="2E74B5" w:themeColor="accent1" w:themeShade="BF"/>
          <w:sz w:val="20"/>
        </w:rPr>
      </w:pPr>
      <w:r w:rsidRPr="00FF1F3B">
        <w:rPr>
          <w:b/>
          <w:color w:val="2E74B5" w:themeColor="accent1" w:themeShade="BF"/>
          <w:sz w:val="20"/>
        </w:rPr>
        <w:t>Tavsiye Edilecek Fonlar</w:t>
      </w:r>
    </w:p>
    <w:p w14:paraId="69BF63AC" w14:textId="77777777" w:rsidR="00E1031F" w:rsidRPr="00FF1F3B" w:rsidRDefault="00E1031F" w:rsidP="00E1031F">
      <w:pPr>
        <w:spacing w:after="0"/>
        <w:rPr>
          <w:color w:val="44546A" w:themeColor="text2"/>
          <w:sz w:val="20"/>
        </w:rPr>
      </w:pPr>
    </w:p>
    <w:p w14:paraId="6E5FA4F5" w14:textId="77777777" w:rsidR="00E1031F" w:rsidRPr="00FF1F3B" w:rsidRDefault="00E1031F" w:rsidP="00E1031F">
      <w:pPr>
        <w:spacing w:after="0"/>
        <w:rPr>
          <w:sz w:val="20"/>
        </w:rPr>
      </w:pPr>
      <w:r w:rsidRPr="00FF1F3B">
        <w:rPr>
          <w:sz w:val="20"/>
        </w:rPr>
        <w:t>Katılımcıların ilk 7 soru kapsamında verdikleri yanıtlar dikkate alınarak, her seçeneğin sağ tarafında bulunan puanların toplanması suretiyle risk skoru hesap edilir ve risk skoruna göre katılımcının risk profili ortaya çıkartılır. Bu kapsamda, ilgisine göre 4 farklı risk profili arasından katılımcının dahil olduğu grup için hazırlanan metin katılımcıya gösterilir.</w:t>
      </w:r>
    </w:p>
    <w:p w14:paraId="66484549" w14:textId="77777777" w:rsidR="00E1031F" w:rsidRPr="00FF1F3B" w:rsidRDefault="00E1031F" w:rsidP="00E1031F">
      <w:pPr>
        <w:spacing w:after="0"/>
        <w:rPr>
          <w:sz w:val="20"/>
        </w:rPr>
      </w:pPr>
      <w:r w:rsidRPr="00FF1F3B">
        <w:rPr>
          <w:sz w:val="20"/>
        </w:rPr>
        <w:t>Otomatik katılım sistemindeki katılımcılara belirlenen risk profiline göre düşük risk profili için muhafazakar/ temkinli, orta risk profili için dengeli, yüksek risk profili için atak/ dinamik/ büyüme veya çok yüksek risk profili için agresif değişken fon önerilir. Otomatik katılım sisteminde yer almayan katılımcılara ise belirlenen risk profiline uygun fon dağılımları önerilir.</w:t>
      </w:r>
    </w:p>
    <w:p w14:paraId="7D96EC24" w14:textId="77777777" w:rsidR="00E1031F" w:rsidRPr="00FF1F3B" w:rsidRDefault="00E1031F" w:rsidP="00E1031F">
      <w:pPr>
        <w:spacing w:after="0"/>
        <w:rPr>
          <w:sz w:val="20"/>
        </w:rPr>
      </w:pPr>
      <w:r w:rsidRPr="00FF1F3B">
        <w:rPr>
          <w:sz w:val="20"/>
        </w:rPr>
        <w:t>8. soru kapsamında “Evet, faiz içermemesini tercih ederim.” yanıtını veren katılımcılar için sadece faiz içermeyen fonlar önerilir.</w:t>
      </w:r>
    </w:p>
    <w:p w14:paraId="21EE0D20" w14:textId="77777777" w:rsidR="00E1031F" w:rsidRPr="00FF1F3B" w:rsidRDefault="00E1031F" w:rsidP="00E1031F">
      <w:pPr>
        <w:spacing w:after="0"/>
        <w:rPr>
          <w:sz w:val="20"/>
        </w:rPr>
      </w:pPr>
      <w:r w:rsidRPr="00FF1F3B">
        <w:rPr>
          <w:sz w:val="20"/>
        </w:rPr>
        <w:t>Diğer taraftan, plan kapsamında belirlenen kategoriye uygun fon bulunmaması veya faiz içermeyen fon bulunmaması durumlarında şirket bu hususta katılımcıyı bilgilendirerek herhangi bir öneride bulunmaz.</w:t>
      </w:r>
    </w:p>
    <w:p w14:paraId="447A5BC4" w14:textId="77777777" w:rsidR="00E1031F" w:rsidRPr="00FF1F3B" w:rsidRDefault="00E1031F" w:rsidP="00E1031F">
      <w:pPr>
        <w:spacing w:after="0"/>
        <w:rPr>
          <w:sz w:val="20"/>
        </w:rPr>
      </w:pPr>
      <w:r w:rsidRPr="00FF1F3B">
        <w:rPr>
          <w:sz w:val="20"/>
        </w:rPr>
        <w:t>Katılımcının, risk profil anketi sonucundan farklı bir fon tercihinde bulunması durumunda katılımcının tercih ettiği fon seçeneklerine göre işlem yapılır.</w:t>
      </w:r>
    </w:p>
    <w:p w14:paraId="251F518F" w14:textId="77777777" w:rsidR="00343027" w:rsidRDefault="00343027"/>
    <w:sectPr w:rsidR="0034302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AB7A4" w14:textId="77777777" w:rsidR="00AD78B1" w:rsidRDefault="00AD78B1" w:rsidP="00E1031F">
      <w:pPr>
        <w:spacing w:after="0" w:line="240" w:lineRule="auto"/>
      </w:pPr>
      <w:r>
        <w:separator/>
      </w:r>
    </w:p>
  </w:endnote>
  <w:endnote w:type="continuationSeparator" w:id="0">
    <w:p w14:paraId="73FB29AB" w14:textId="77777777" w:rsidR="00AD78B1" w:rsidRDefault="00AD78B1" w:rsidP="00E10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F17DC" w14:textId="20EF9BDA" w:rsidR="00E1031F" w:rsidRPr="00C35D57" w:rsidRDefault="00C35D57" w:rsidP="00C35D57">
    <w:pPr>
      <w:pStyle w:val="AltBilgi"/>
    </w:pPr>
    <w:r>
      <w:rPr>
        <w:rStyle w:val="document-info-data"/>
        <w:sz w:val="20"/>
      </w:rPr>
      <w:fldChar w:fldCharType="begin" w:fldLock="1"/>
    </w:r>
    <w:r>
      <w:rPr>
        <w:rStyle w:val="document-info-data"/>
        <w:sz w:val="20"/>
      </w:rPr>
      <w:instrText xml:space="preserve"> DOCPROPERTY bjFooterEvenPageDocProperty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E6F4E" w14:textId="39105EF7" w:rsidR="00E1031F" w:rsidRPr="00C35D57" w:rsidRDefault="00C35D57" w:rsidP="00C35D57">
    <w:pPr>
      <w:pStyle w:val="AltBilgi"/>
    </w:pPr>
    <w:r>
      <w:rPr>
        <w:rStyle w:val="document-info-data"/>
        <w:sz w:val="20"/>
      </w:rPr>
      <w:fldChar w:fldCharType="begin" w:fldLock="1"/>
    </w:r>
    <w:r>
      <w:rPr>
        <w:rStyle w:val="document-info-data"/>
        <w:sz w:val="20"/>
      </w:rPr>
      <w:instrText xml:space="preserve"> DOCPROPERTY bjFooterBothDocProperty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A4FD7" w14:textId="6919E087" w:rsidR="00E1031F" w:rsidRPr="00C35D57" w:rsidRDefault="00C35D57" w:rsidP="00C35D57">
    <w:pPr>
      <w:pStyle w:val="AltBilgi"/>
    </w:pPr>
    <w:r>
      <w:rPr>
        <w:rStyle w:val="document-info-data"/>
        <w:sz w:val="20"/>
      </w:rPr>
      <w:fldChar w:fldCharType="begin" w:fldLock="1"/>
    </w:r>
    <w:r>
      <w:rPr>
        <w:rStyle w:val="document-info-data"/>
        <w:sz w:val="20"/>
      </w:rPr>
      <w:instrText xml:space="preserve"> DOCPROPERTY bjFooterFirstPageDocProperty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E0727" w14:textId="77777777" w:rsidR="00AD78B1" w:rsidRDefault="00AD78B1" w:rsidP="00E1031F">
      <w:pPr>
        <w:spacing w:after="0" w:line="240" w:lineRule="auto"/>
      </w:pPr>
      <w:r>
        <w:separator/>
      </w:r>
    </w:p>
  </w:footnote>
  <w:footnote w:type="continuationSeparator" w:id="0">
    <w:p w14:paraId="6AB013BE" w14:textId="77777777" w:rsidR="00AD78B1" w:rsidRDefault="00AD78B1" w:rsidP="00E10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A573A" w14:textId="77777777" w:rsidR="00E1031F" w:rsidRDefault="00E1031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A1ED5" w14:textId="77777777" w:rsidR="00E1031F" w:rsidRDefault="00E1031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D41F3" w14:textId="77777777" w:rsidR="00E1031F" w:rsidRDefault="00E1031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887"/>
    <w:rsid w:val="00343027"/>
    <w:rsid w:val="00684897"/>
    <w:rsid w:val="00877FFA"/>
    <w:rsid w:val="00AD78B1"/>
    <w:rsid w:val="00C35D57"/>
    <w:rsid w:val="00DE6887"/>
    <w:rsid w:val="00E1031F"/>
    <w:rsid w:val="00F643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22391"/>
  <w15:chartTrackingRefBased/>
  <w15:docId w15:val="{669ABD30-E4FE-4953-958B-7E715B1B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031F"/>
    <w:pPr>
      <w:spacing w:after="180" w:line="276" w:lineRule="auto"/>
    </w:pPr>
    <w:rPr>
      <w:rFonts w:ascii="Arial" w:eastAsia="Times New Roman" w:hAnsi="Arial" w:cs="Arial"/>
      <w:szCs w:val="20"/>
      <w:lang w:eastAsia="tr-TR"/>
    </w:rPr>
  </w:style>
  <w:style w:type="paragraph" w:styleId="Balk2">
    <w:name w:val="heading 2"/>
    <w:basedOn w:val="Normal"/>
    <w:next w:val="Normal"/>
    <w:link w:val="Balk2Char"/>
    <w:uiPriority w:val="9"/>
    <w:qFormat/>
    <w:rsid w:val="00E1031F"/>
    <w:pPr>
      <w:keepLines/>
      <w:spacing w:before="280" w:after="280"/>
      <w:outlineLvl w:val="1"/>
    </w:pPr>
    <w:rPr>
      <w:b/>
      <w:sz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1031F"/>
    <w:rPr>
      <w:rFonts w:ascii="Arial" w:eastAsia="Times New Roman" w:hAnsi="Arial" w:cs="Arial"/>
      <w:b/>
      <w:sz w:val="36"/>
      <w:szCs w:val="20"/>
      <w:lang w:eastAsia="tr-TR"/>
    </w:rPr>
  </w:style>
  <w:style w:type="table" w:styleId="TabloKlavuzu">
    <w:name w:val="Table Grid"/>
    <w:basedOn w:val="NormalTablo"/>
    <w:uiPriority w:val="39"/>
    <w:rsid w:val="00E1031F"/>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ListeParagraf">
    <w:name w:val="List Paragraph"/>
    <w:aliases w:val="içindekiler vbCxSpLast"/>
    <w:basedOn w:val="Normal"/>
    <w:link w:val="ListeParagrafChar"/>
    <w:uiPriority w:val="34"/>
    <w:qFormat/>
    <w:rsid w:val="00E1031F"/>
    <w:pPr>
      <w:spacing w:after="0" w:line="240" w:lineRule="auto"/>
      <w:ind w:left="708"/>
      <w:jc w:val="both"/>
    </w:pPr>
    <w:rPr>
      <w:rFonts w:ascii="Times New Roman" w:hAnsi="Times New Roman" w:cs="Times New Roman"/>
      <w:sz w:val="24"/>
      <w:szCs w:val="24"/>
    </w:rPr>
  </w:style>
  <w:style w:type="character" w:customStyle="1" w:styleId="ListeParagrafChar">
    <w:name w:val="Liste Paragraf Char"/>
    <w:aliases w:val="içindekiler vbCxSpLast Char"/>
    <w:basedOn w:val="VarsaylanParagrafYazTipi"/>
    <w:link w:val="ListeParagraf"/>
    <w:uiPriority w:val="34"/>
    <w:rsid w:val="00E1031F"/>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E103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1031F"/>
    <w:rPr>
      <w:rFonts w:ascii="Arial" w:eastAsia="Times New Roman" w:hAnsi="Arial" w:cs="Arial"/>
      <w:szCs w:val="20"/>
      <w:lang w:eastAsia="tr-TR"/>
    </w:rPr>
  </w:style>
  <w:style w:type="paragraph" w:styleId="AltBilgi">
    <w:name w:val="footer"/>
    <w:basedOn w:val="Normal"/>
    <w:link w:val="AltBilgiChar"/>
    <w:uiPriority w:val="99"/>
    <w:unhideWhenUsed/>
    <w:rsid w:val="00E103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1031F"/>
    <w:rPr>
      <w:rFonts w:ascii="Arial" w:eastAsia="Times New Roman" w:hAnsi="Arial" w:cs="Arial"/>
      <w:szCs w:val="20"/>
      <w:lang w:eastAsia="tr-TR"/>
    </w:rPr>
  </w:style>
  <w:style w:type="character" w:customStyle="1" w:styleId="document-info-data">
    <w:name w:val="document-info-data"/>
    <w:rsid w:val="00C35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D61D6F3C-B4C6-4FA8-92B2-83724EC753D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1355</Words>
  <Characters>7725</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6</cp:revision>
  <cp:lastPrinted>2023-08-08T13:24:00Z</cp:lastPrinted>
  <dcterms:created xsi:type="dcterms:W3CDTF">2022-12-15T09:50:00Z</dcterms:created>
  <dcterms:modified xsi:type="dcterms:W3CDTF">2023-08-08T13:24:00Z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e9382b08-fe08-45bd-ae49-4fdfac14f13f</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