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67B" w:rsidRDefault="0016667B" w:rsidP="0008693D">
      <w:pPr>
        <w:pStyle w:val="Balk2"/>
        <w:spacing w:before="0"/>
        <w:ind w:right="900"/>
        <w:rPr>
          <w:rStyle w:val="document-info-data"/>
          <w:rFonts w:ascii="Arial" w:hAnsi="Arial" w:cs="Arial"/>
          <w:b/>
          <w:color w:val="auto"/>
          <w:sz w:val="20"/>
          <w:u w:val="single"/>
        </w:rPr>
      </w:pPr>
      <w:r w:rsidRPr="00790B68">
        <w:rPr>
          <w:rStyle w:val="document-info-label"/>
          <w:rFonts w:ascii="Arial" w:hAnsi="Arial" w:cs="Arial"/>
          <w:b/>
          <w:color w:val="auto"/>
          <w:sz w:val="20"/>
          <w:u w:val="single"/>
        </w:rPr>
        <w:t>Resmi Gazete Dışındaki Kaynak</w:t>
      </w:r>
      <w:r w:rsidRPr="00790B68">
        <w:rPr>
          <w:rFonts w:ascii="Arial" w:hAnsi="Arial" w:cs="Arial"/>
          <w:b/>
          <w:color w:val="auto"/>
          <w:sz w:val="20"/>
          <w:u w:val="single"/>
        </w:rPr>
        <w:br/>
      </w:r>
      <w:r w:rsidRPr="00790B68">
        <w:rPr>
          <w:rStyle w:val="document-info-data"/>
          <w:rFonts w:ascii="Arial" w:hAnsi="Arial" w:cs="Arial"/>
          <w:b/>
          <w:color w:val="auto"/>
          <w:sz w:val="20"/>
          <w:u w:val="single"/>
        </w:rPr>
        <w:t>Hazine Müsteşarlığı</w:t>
      </w:r>
      <w:r>
        <w:rPr>
          <w:rStyle w:val="document-info-data"/>
          <w:rFonts w:ascii="Arial" w:hAnsi="Arial" w:cs="Arial"/>
          <w:b/>
          <w:color w:val="auto"/>
          <w:sz w:val="20"/>
          <w:u w:val="single"/>
        </w:rPr>
        <w:t xml:space="preserve"> (Sigortacılık Genel Müdürlüğü)</w:t>
      </w:r>
    </w:p>
    <w:p w:rsidR="0016667B" w:rsidRDefault="0016667B" w:rsidP="0008693D">
      <w:pPr>
        <w:spacing w:after="0"/>
      </w:pPr>
    </w:p>
    <w:p w:rsidR="0016667B" w:rsidRDefault="0016667B" w:rsidP="0008693D">
      <w:pPr>
        <w:pStyle w:val="Balk2"/>
        <w:spacing w:before="0"/>
        <w:jc w:val="center"/>
        <w:rPr>
          <w:rFonts w:ascii="Arial" w:hAnsi="Arial" w:cs="Arial"/>
          <w:b/>
          <w:color w:val="auto"/>
          <w:sz w:val="24"/>
          <w:szCs w:val="24"/>
        </w:rPr>
      </w:pPr>
      <w:bookmarkStart w:id="0" w:name="_Toc10203548"/>
      <w:bookmarkStart w:id="1" w:name="_Toc91679090"/>
      <w:bookmarkStart w:id="2" w:name="_Toc105418721"/>
      <w:r w:rsidRPr="00CA4D54">
        <w:rPr>
          <w:rFonts w:ascii="Arial" w:hAnsi="Arial" w:cs="Arial"/>
          <w:b/>
          <w:color w:val="auto"/>
          <w:sz w:val="24"/>
          <w:szCs w:val="24"/>
        </w:rPr>
        <w:t>OLAĞANÜSTÜ HAL KANUN HÜKMÜNDE KARARNAMELERİNE İLİŞKİN SEKTÖR DUYURUSU (2016/19)</w:t>
      </w:r>
      <w:bookmarkEnd w:id="0"/>
      <w:bookmarkEnd w:id="1"/>
      <w:bookmarkEnd w:id="2"/>
    </w:p>
    <w:p w:rsidR="0016667B" w:rsidRDefault="0016667B" w:rsidP="0008693D">
      <w:pPr>
        <w:spacing w:after="0"/>
      </w:pPr>
    </w:p>
    <w:p w:rsidR="0008693D" w:rsidRPr="0008693D" w:rsidRDefault="0008693D" w:rsidP="0008693D">
      <w:pPr>
        <w:spacing w:after="0" w:line="276" w:lineRule="auto"/>
        <w:ind w:left="170"/>
        <w:rPr>
          <w:rFonts w:ascii="Arial" w:hAnsi="Arial" w:cs="Arial"/>
          <w:color w:val="000000"/>
          <w:sz w:val="20"/>
          <w:szCs w:val="20"/>
        </w:rPr>
      </w:pPr>
    </w:p>
    <w:p w:rsidR="0016667B" w:rsidRPr="0008693D" w:rsidRDefault="0016667B" w:rsidP="0008693D">
      <w:pPr>
        <w:spacing w:after="0" w:line="276" w:lineRule="auto"/>
        <w:ind w:left="170"/>
        <w:rPr>
          <w:rFonts w:ascii="Arial" w:hAnsi="Arial" w:cs="Arial"/>
          <w:color w:val="000000"/>
          <w:sz w:val="20"/>
          <w:szCs w:val="20"/>
        </w:rPr>
      </w:pPr>
      <w:r w:rsidRPr="0008693D">
        <w:rPr>
          <w:rFonts w:ascii="Arial" w:hAnsi="Arial" w:cs="Arial"/>
          <w:color w:val="000000"/>
          <w:sz w:val="20"/>
          <w:szCs w:val="20"/>
        </w:rPr>
        <w:t>23/7/2016 tarihli ve 29779 sayılı Resmî Gazete’ de yayımlanarak yürürlüğe giren “22/7/2016 tarihli ve 667 sayılı Olağanüstü Hal Kapsamında Alınan Tedbirlere İlişkin Kanun Hükmünde Kararname” ile 27/7/2016</w:t>
      </w:r>
      <w:bookmarkStart w:id="3" w:name="_GoBack"/>
      <w:bookmarkEnd w:id="3"/>
      <w:r w:rsidRPr="0008693D">
        <w:rPr>
          <w:rFonts w:ascii="Arial" w:hAnsi="Arial" w:cs="Arial"/>
          <w:color w:val="000000"/>
          <w:sz w:val="20"/>
          <w:szCs w:val="20"/>
        </w:rPr>
        <w:t xml:space="preserve"> tarihli ve 29783 sayılı Resmî Gazete’ de yayımlanarak yürürlüğe giren “25/7/2016 tarihli ve 668 sayılı Olağanüstü Hal Kapsamında Alınması Gereken Tedbirler ile Bazı Kurum ve Kuruluşlara Dair Düzenleme Yapılması Hakkında Kanun Hükmünde Kararname” ve bu kapsamda istihsal edilecek mevzuat uyarınca hakkında işlem tesis edilen/edilecek kurum ve kuruluşlar ve kişilerle ilgili olarak ilgili kamu otoriteleri tarafından verilen talimatların ivedilikle yerine getirilmesi ve yapılacak tazminat ve birikim ödemelerinde hassasiyet gösterilmesi gerekmektedir.</w:t>
      </w:r>
    </w:p>
    <w:p w:rsidR="0016667B" w:rsidRDefault="0016667B" w:rsidP="0016667B"/>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16667B" w:rsidRPr="00F65119" w:rsidTr="001876B8">
        <w:trPr>
          <w:trHeight w:val="289"/>
        </w:trPr>
        <w:tc>
          <w:tcPr>
            <w:tcW w:w="8497" w:type="dxa"/>
            <w:gridSpan w:val="3"/>
          </w:tcPr>
          <w:p w:rsidR="0016667B" w:rsidRPr="00F65119" w:rsidRDefault="0016667B" w:rsidP="001876B8">
            <w:pPr>
              <w:jc w:val="center"/>
              <w:rPr>
                <w:b/>
                <w:sz w:val="20"/>
              </w:rPr>
            </w:pPr>
            <w:r w:rsidRPr="00F65119">
              <w:rPr>
                <w:b/>
                <w:sz w:val="20"/>
              </w:rPr>
              <w:t>Sektör Duyurusu’nun</w:t>
            </w:r>
          </w:p>
        </w:tc>
      </w:tr>
      <w:tr w:rsidR="0016667B" w:rsidRPr="00F65119" w:rsidTr="001876B8">
        <w:trPr>
          <w:trHeight w:val="289"/>
        </w:trPr>
        <w:tc>
          <w:tcPr>
            <w:tcW w:w="3016" w:type="dxa"/>
          </w:tcPr>
          <w:p w:rsidR="0016667B" w:rsidRPr="00F65119" w:rsidRDefault="0016667B" w:rsidP="001876B8">
            <w:pPr>
              <w:jc w:val="center"/>
              <w:rPr>
                <w:b/>
                <w:sz w:val="20"/>
              </w:rPr>
            </w:pPr>
            <w:r w:rsidRPr="00F65119">
              <w:rPr>
                <w:b/>
                <w:sz w:val="20"/>
              </w:rPr>
              <w:t>Numarası</w:t>
            </w:r>
          </w:p>
        </w:tc>
        <w:tc>
          <w:tcPr>
            <w:tcW w:w="3019" w:type="dxa"/>
          </w:tcPr>
          <w:p w:rsidR="0016667B" w:rsidRPr="00F65119" w:rsidRDefault="0016667B" w:rsidP="001876B8">
            <w:pPr>
              <w:jc w:val="center"/>
              <w:rPr>
                <w:b/>
                <w:sz w:val="20"/>
              </w:rPr>
            </w:pPr>
            <w:r w:rsidRPr="00F65119">
              <w:rPr>
                <w:b/>
                <w:sz w:val="20"/>
              </w:rPr>
              <w:t>Kabul Tarihi</w:t>
            </w:r>
          </w:p>
        </w:tc>
        <w:tc>
          <w:tcPr>
            <w:tcW w:w="2462" w:type="dxa"/>
          </w:tcPr>
          <w:p w:rsidR="0016667B" w:rsidRPr="00F65119" w:rsidRDefault="0016667B" w:rsidP="001876B8">
            <w:pPr>
              <w:jc w:val="center"/>
              <w:rPr>
                <w:b/>
                <w:sz w:val="20"/>
              </w:rPr>
            </w:pPr>
            <w:r w:rsidRPr="00F65119">
              <w:rPr>
                <w:b/>
                <w:sz w:val="20"/>
              </w:rPr>
              <w:t>Yürürlüğe Giriş Tarihi</w:t>
            </w:r>
          </w:p>
        </w:tc>
      </w:tr>
      <w:tr w:rsidR="0016667B" w:rsidRPr="00F65119" w:rsidTr="001876B8">
        <w:trPr>
          <w:trHeight w:val="289"/>
        </w:trPr>
        <w:tc>
          <w:tcPr>
            <w:tcW w:w="3016" w:type="dxa"/>
          </w:tcPr>
          <w:p w:rsidR="0016667B" w:rsidRPr="00F65119" w:rsidRDefault="0016667B" w:rsidP="001876B8">
            <w:pPr>
              <w:jc w:val="center"/>
              <w:rPr>
                <w:sz w:val="20"/>
              </w:rPr>
            </w:pPr>
            <w:r w:rsidRPr="00F65119">
              <w:rPr>
                <w:sz w:val="20"/>
              </w:rPr>
              <w:t>2016/19</w:t>
            </w:r>
          </w:p>
        </w:tc>
        <w:tc>
          <w:tcPr>
            <w:tcW w:w="3019" w:type="dxa"/>
          </w:tcPr>
          <w:p w:rsidR="0016667B" w:rsidRPr="00F65119" w:rsidRDefault="0016667B" w:rsidP="001876B8">
            <w:pPr>
              <w:jc w:val="center"/>
              <w:rPr>
                <w:sz w:val="20"/>
              </w:rPr>
            </w:pPr>
            <w:r w:rsidRPr="00F65119">
              <w:rPr>
                <w:sz w:val="20"/>
              </w:rPr>
              <w:t>01.08.2016</w:t>
            </w:r>
          </w:p>
        </w:tc>
        <w:tc>
          <w:tcPr>
            <w:tcW w:w="2462" w:type="dxa"/>
          </w:tcPr>
          <w:p w:rsidR="0016667B" w:rsidRPr="00F65119" w:rsidRDefault="0016667B" w:rsidP="001876B8">
            <w:pPr>
              <w:jc w:val="center"/>
              <w:rPr>
                <w:sz w:val="20"/>
              </w:rPr>
            </w:pPr>
            <w:r w:rsidRPr="00F65119">
              <w:rPr>
                <w:sz w:val="20"/>
              </w:rPr>
              <w:t>01.08.2016</w:t>
            </w:r>
          </w:p>
        </w:tc>
      </w:tr>
    </w:tbl>
    <w:p w:rsidR="00831137" w:rsidRDefault="00831137"/>
    <w:sectPr w:rsidR="0083113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67B" w:rsidRDefault="0016667B" w:rsidP="0016667B">
      <w:pPr>
        <w:spacing w:after="0" w:line="240" w:lineRule="auto"/>
      </w:pPr>
      <w:r>
        <w:separator/>
      </w:r>
    </w:p>
  </w:endnote>
  <w:endnote w:type="continuationSeparator" w:id="0">
    <w:p w:rsidR="0016667B" w:rsidRDefault="0016667B" w:rsidP="0016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67B" w:rsidRPr="0008693D" w:rsidRDefault="0008693D" w:rsidP="0008693D">
    <w:pPr>
      <w:pStyle w:val="AltBilgi"/>
    </w:pPr>
    <w:r>
      <w:rPr>
        <w:sz w:val="20"/>
      </w:rPr>
      <w:fldChar w:fldCharType="begin" w:fldLock="1"/>
    </w:r>
    <w:r>
      <w:rPr>
        <w:sz w:val="20"/>
      </w:rPr>
      <w:instrText xml:space="preserve"> DOCPROPERTY bjFooterEvenPageDocProperty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67B" w:rsidRPr="0008693D" w:rsidRDefault="0008693D" w:rsidP="0008693D">
    <w:pPr>
      <w:pStyle w:val="AltBilgi"/>
    </w:pPr>
    <w:r>
      <w:rPr>
        <w:sz w:val="20"/>
      </w:rPr>
      <w:fldChar w:fldCharType="begin" w:fldLock="1"/>
    </w:r>
    <w:r>
      <w:rPr>
        <w:sz w:val="20"/>
      </w:rPr>
      <w:instrText xml:space="preserve"> DOCPROPERTY bjFooterBothDocProperty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67B" w:rsidRPr="0008693D" w:rsidRDefault="0008693D" w:rsidP="0008693D">
    <w:pPr>
      <w:pStyle w:val="AltBilgi"/>
    </w:pPr>
    <w:r>
      <w:rPr>
        <w:sz w:val="20"/>
      </w:rPr>
      <w:fldChar w:fldCharType="begin" w:fldLock="1"/>
    </w:r>
    <w:r>
      <w:rPr>
        <w:sz w:val="20"/>
      </w:rPr>
      <w:instrText xml:space="preserve"> DOCPROPERTY bjFooterFirstPageDocProperty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67B" w:rsidRDefault="0016667B" w:rsidP="0016667B">
      <w:pPr>
        <w:spacing w:after="0" w:line="240" w:lineRule="auto"/>
      </w:pPr>
      <w:r>
        <w:separator/>
      </w:r>
    </w:p>
  </w:footnote>
  <w:footnote w:type="continuationSeparator" w:id="0">
    <w:p w:rsidR="0016667B" w:rsidRDefault="0016667B" w:rsidP="0016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67B" w:rsidRDefault="0016667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67B" w:rsidRDefault="0016667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67B" w:rsidRDefault="0016667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AD"/>
    <w:rsid w:val="0008693D"/>
    <w:rsid w:val="0016667B"/>
    <w:rsid w:val="005E7BAD"/>
    <w:rsid w:val="00831137"/>
    <w:rsid w:val="00953B51"/>
    <w:rsid w:val="00BA42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596A78"/>
  <w15:chartTrackingRefBased/>
  <w15:docId w15:val="{080A8FA0-E4D1-4264-B919-B6083408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67B"/>
  </w:style>
  <w:style w:type="paragraph" w:styleId="Balk2">
    <w:name w:val="heading 2"/>
    <w:basedOn w:val="Normal"/>
    <w:next w:val="Normal"/>
    <w:link w:val="Balk2Char"/>
    <w:uiPriority w:val="9"/>
    <w:unhideWhenUsed/>
    <w:qFormat/>
    <w:rsid w:val="001666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6667B"/>
    <w:rPr>
      <w:rFonts w:asciiTheme="majorHAnsi" w:eastAsiaTheme="majorEastAsia" w:hAnsiTheme="majorHAnsi" w:cstheme="majorBidi"/>
      <w:color w:val="2E74B5" w:themeColor="accent1" w:themeShade="BF"/>
      <w:sz w:val="26"/>
      <w:szCs w:val="26"/>
    </w:rPr>
  </w:style>
  <w:style w:type="character" w:customStyle="1" w:styleId="document-info-data">
    <w:name w:val="document-info-data"/>
    <w:rsid w:val="0016667B"/>
  </w:style>
  <w:style w:type="character" w:customStyle="1" w:styleId="document-info-label">
    <w:name w:val="document-info-label"/>
    <w:rsid w:val="0016667B"/>
  </w:style>
  <w:style w:type="table" w:styleId="TabloKlavuzu">
    <w:name w:val="Table Grid"/>
    <w:basedOn w:val="NormalTablo"/>
    <w:uiPriority w:val="59"/>
    <w:rsid w:val="0016667B"/>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16667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6667B"/>
  </w:style>
  <w:style w:type="paragraph" w:styleId="AltBilgi">
    <w:name w:val="footer"/>
    <w:basedOn w:val="Normal"/>
    <w:link w:val="AltBilgiChar"/>
    <w:uiPriority w:val="99"/>
    <w:unhideWhenUsed/>
    <w:rsid w:val="0016667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6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63271266-75AD-4E9E-BB77-EB5BE5161E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868</Characters>
  <Application>Microsoft Office Word</Application>
  <DocSecurity>0</DocSecurity>
  <Lines>7</Lines>
  <Paragraphs>2</Paragraphs>
  <ScaleCrop>false</ScaleCrop>
  <Company>EGM</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2022-12-16T07:14:00Z</dcterms:created>
  <dcterms:modified xsi:type="dcterms:W3CDTF">2023-01-09T13:38:00Z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5cecc371-cde5-43ed-b842-dbf7d374a69e</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