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7F1" w:rsidRDefault="006257F1" w:rsidP="005A7375">
      <w:pPr>
        <w:pStyle w:val="Balk2"/>
        <w:spacing w:before="0" w:line="276" w:lineRule="auto"/>
        <w:ind w:right="900"/>
        <w:rPr>
          <w:rStyle w:val="document-info-data"/>
          <w:rFonts w:ascii="Arial" w:hAnsi="Arial" w:cs="Arial"/>
          <w:b/>
          <w:color w:val="auto"/>
          <w:sz w:val="20"/>
          <w:u w:val="single"/>
        </w:rPr>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790B68">
        <w:rPr>
          <w:rStyle w:val="document-info-data"/>
          <w:rFonts w:ascii="Arial" w:hAnsi="Arial" w:cs="Arial"/>
          <w:b/>
          <w:color w:val="auto"/>
          <w:sz w:val="20"/>
          <w:u w:val="single"/>
        </w:rPr>
        <w:t>Hazine Müsteşarlığı</w:t>
      </w:r>
    </w:p>
    <w:p w:rsidR="005A7375" w:rsidRPr="005A7375" w:rsidRDefault="005A7375" w:rsidP="005A7375">
      <w:pPr>
        <w:spacing w:after="0"/>
      </w:pPr>
    </w:p>
    <w:p w:rsidR="006257F1" w:rsidRDefault="006257F1" w:rsidP="005A7375">
      <w:pPr>
        <w:pStyle w:val="Balk2"/>
        <w:spacing w:before="0" w:line="276" w:lineRule="auto"/>
        <w:jc w:val="center"/>
        <w:rPr>
          <w:rFonts w:ascii="Arial" w:hAnsi="Arial" w:cs="Arial"/>
          <w:b/>
          <w:color w:val="auto"/>
          <w:sz w:val="24"/>
          <w:szCs w:val="24"/>
        </w:rPr>
      </w:pPr>
      <w:bookmarkStart w:id="0" w:name="_Toc10203537"/>
      <w:bookmarkStart w:id="1" w:name="_Toc91679079"/>
      <w:bookmarkStart w:id="2" w:name="_Toc105418710"/>
      <w:r w:rsidRPr="009F219D">
        <w:rPr>
          <w:rFonts w:ascii="Arial" w:hAnsi="Arial" w:cs="Arial"/>
          <w:b/>
          <w:color w:val="auto"/>
          <w:sz w:val="24"/>
          <w:szCs w:val="24"/>
        </w:rPr>
        <w:t>MOBİL İMZAYA İLİŞKİN SEKTÖR DUYURUSU (2010 / 19 )</w:t>
      </w:r>
      <w:bookmarkEnd w:id="0"/>
      <w:bookmarkEnd w:id="1"/>
      <w:bookmarkEnd w:id="2"/>
    </w:p>
    <w:p w:rsidR="005A7375" w:rsidRDefault="005A7375" w:rsidP="005A7375">
      <w:pPr>
        <w:spacing w:after="0" w:line="276" w:lineRule="auto"/>
      </w:pPr>
    </w:p>
    <w:p w:rsidR="005A7375" w:rsidRPr="005A7375" w:rsidRDefault="005A7375" w:rsidP="005A7375">
      <w:pPr>
        <w:spacing w:after="0" w:line="276" w:lineRule="auto"/>
      </w:pPr>
    </w:p>
    <w:p w:rsidR="006257F1" w:rsidRPr="00A7658B" w:rsidRDefault="006257F1" w:rsidP="005A7375">
      <w:pPr>
        <w:spacing w:after="0" w:line="276" w:lineRule="auto"/>
        <w:ind w:left="170"/>
        <w:rPr>
          <w:rFonts w:ascii="Arial" w:hAnsi="Arial" w:cs="Arial"/>
          <w:color w:val="000000"/>
          <w:sz w:val="20"/>
          <w:szCs w:val="20"/>
        </w:rPr>
      </w:pPr>
      <w:r w:rsidRPr="00A7658B">
        <w:rPr>
          <w:rFonts w:ascii="Arial" w:hAnsi="Arial" w:cs="Arial"/>
          <w:color w:val="000000"/>
          <w:sz w:val="20"/>
          <w:szCs w:val="20"/>
        </w:rPr>
        <w:t xml:space="preserve">Bilindiği üzere; mobil İmza, ıslak imza niteliğinde güvenli bir biçimde elektronik imza işlemi yapılmasına </w:t>
      </w:r>
      <w:r w:rsidRPr="005A7375">
        <w:rPr>
          <w:rFonts w:ascii="Arial" w:hAnsi="Arial" w:cs="Arial"/>
          <w:sz w:val="20"/>
          <w:szCs w:val="20"/>
        </w:rPr>
        <w:t>imkân</w:t>
      </w:r>
      <w:r w:rsidRPr="00A7658B">
        <w:rPr>
          <w:rFonts w:ascii="Arial" w:hAnsi="Arial" w:cs="Arial"/>
          <w:color w:val="000000"/>
          <w:sz w:val="20"/>
          <w:szCs w:val="20"/>
        </w:rPr>
        <w:t xml:space="preserve"> sağlayan uygulama olup, 5070 sayılı Elektronik İmza Kanunu’na göre elle atılan imza ile aynı hukukî sonucu doğurmaktadır. </w:t>
      </w:r>
    </w:p>
    <w:p w:rsidR="006257F1" w:rsidRPr="00A7658B" w:rsidRDefault="006257F1" w:rsidP="005A7375">
      <w:pPr>
        <w:spacing w:after="0" w:line="276" w:lineRule="auto"/>
        <w:ind w:left="170"/>
        <w:rPr>
          <w:rFonts w:ascii="Arial" w:hAnsi="Arial" w:cs="Arial"/>
          <w:color w:val="000000"/>
          <w:sz w:val="20"/>
          <w:szCs w:val="20"/>
        </w:rPr>
      </w:pPr>
      <w:r w:rsidRPr="00A7658B">
        <w:rPr>
          <w:rFonts w:ascii="Arial" w:hAnsi="Arial" w:cs="Arial"/>
          <w:color w:val="000000"/>
          <w:sz w:val="20"/>
          <w:szCs w:val="20"/>
        </w:rPr>
        <w:t>Mobil imzayla birlikte, bir ku</w:t>
      </w:r>
      <w:bookmarkStart w:id="3" w:name="_GoBack"/>
      <w:bookmarkEnd w:id="3"/>
      <w:r w:rsidRPr="00A7658B">
        <w:rPr>
          <w:rFonts w:ascii="Arial" w:hAnsi="Arial" w:cs="Arial"/>
          <w:color w:val="000000"/>
          <w:sz w:val="20"/>
          <w:szCs w:val="20"/>
        </w:rPr>
        <w:t>llanıcı tarafından gönderilen bilgilerin veya verilerin kesinlikle o kişi tarafından gönderildiği kendiliğinden teyit edilebilmekte, şifreleme sistemi sayesinde bir kullanıcı tarafından gönderilen bilgilerin veya verilerin bir başkasının eline geçmesi veya değiştirilmesi engellenebilmekte ve böylece işlemler güvenli bir şekilde yürütülebilmektedir.</w:t>
      </w:r>
    </w:p>
    <w:p w:rsidR="006257F1" w:rsidRPr="00A7658B" w:rsidRDefault="006257F1" w:rsidP="005A7375">
      <w:pPr>
        <w:spacing w:after="0" w:line="276" w:lineRule="auto"/>
        <w:ind w:left="170"/>
        <w:rPr>
          <w:rFonts w:ascii="Arial" w:hAnsi="Arial" w:cs="Arial"/>
          <w:color w:val="000000"/>
          <w:sz w:val="20"/>
          <w:szCs w:val="20"/>
        </w:rPr>
      </w:pPr>
      <w:r w:rsidRPr="00A7658B">
        <w:rPr>
          <w:rFonts w:ascii="Arial" w:hAnsi="Arial" w:cs="Arial"/>
          <w:color w:val="000000"/>
          <w:sz w:val="20"/>
          <w:szCs w:val="20"/>
        </w:rPr>
        <w:t>Bu çerçevede; sigorta,reasürans ve emeklilik şirketlerinin 31 Mart 2010 tarihi itibarıyla hazırlayacakları tabloları ıslak imzalı olarak Müsteşarlığımıza gönderilmeden Mobil İmza Portalı’na yükleyerek imzalaması, bu tarihten önceki 2010 yılına ait tabloların ise ıslak imzalı olarak Müsteşarlığımıza gönderilmesi gerekmektedir. Mobil İmza Uygulaması kapsamında imzalanacak tablolar aşağıda yer almaktadır;</w:t>
      </w:r>
    </w:p>
    <w:p w:rsidR="006257F1" w:rsidRPr="00A7658B" w:rsidRDefault="006257F1" w:rsidP="005A7375">
      <w:pPr>
        <w:spacing w:after="0" w:line="276" w:lineRule="auto"/>
        <w:ind w:left="170"/>
        <w:rPr>
          <w:rFonts w:ascii="Arial" w:hAnsi="Arial" w:cs="Arial"/>
          <w:color w:val="000000"/>
          <w:sz w:val="20"/>
          <w:szCs w:val="20"/>
        </w:rPr>
      </w:pP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11</w:t>
      </w:r>
      <w:r w:rsidRPr="005A7375">
        <w:rPr>
          <w:rFonts w:ascii="Arial" w:hAnsi="Arial" w:cs="Arial"/>
          <w:color w:val="000000"/>
          <w:sz w:val="20"/>
          <w:szCs w:val="20"/>
        </w:rPr>
        <w:t xml:space="preserve"> :</w:t>
      </w:r>
      <w:r w:rsidRPr="00A7658B">
        <w:rPr>
          <w:rFonts w:ascii="Arial" w:hAnsi="Arial" w:cs="Arial"/>
          <w:color w:val="000000"/>
          <w:sz w:val="20"/>
          <w:szCs w:val="20"/>
        </w:rPr>
        <w:t xml:space="preserve"> Bilanço</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12</w:t>
      </w:r>
      <w:r w:rsidRPr="005A7375">
        <w:rPr>
          <w:rFonts w:ascii="Arial" w:hAnsi="Arial" w:cs="Arial"/>
          <w:color w:val="000000"/>
          <w:sz w:val="20"/>
          <w:szCs w:val="20"/>
        </w:rPr>
        <w:t xml:space="preserve"> :</w:t>
      </w:r>
      <w:r w:rsidRPr="00A7658B">
        <w:rPr>
          <w:rFonts w:ascii="Arial" w:hAnsi="Arial" w:cs="Arial"/>
          <w:color w:val="000000"/>
          <w:sz w:val="20"/>
          <w:szCs w:val="20"/>
        </w:rPr>
        <w:t xml:space="preserve"> Gelir Tablosu</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13</w:t>
      </w:r>
      <w:r w:rsidRPr="005A7375">
        <w:rPr>
          <w:rFonts w:ascii="Arial" w:hAnsi="Arial" w:cs="Arial"/>
          <w:color w:val="000000"/>
          <w:sz w:val="20"/>
          <w:szCs w:val="20"/>
        </w:rPr>
        <w:t xml:space="preserve"> :</w:t>
      </w:r>
      <w:r w:rsidRPr="00A7658B">
        <w:rPr>
          <w:rFonts w:ascii="Arial" w:hAnsi="Arial" w:cs="Arial"/>
          <w:color w:val="000000"/>
          <w:sz w:val="20"/>
          <w:szCs w:val="20"/>
        </w:rPr>
        <w:t xml:space="preserve"> Nazım Tablosu </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14</w:t>
      </w:r>
      <w:r w:rsidRPr="005A7375">
        <w:rPr>
          <w:rFonts w:ascii="Arial" w:hAnsi="Arial" w:cs="Arial"/>
          <w:color w:val="000000"/>
          <w:sz w:val="20"/>
          <w:szCs w:val="20"/>
        </w:rPr>
        <w:t xml:space="preserve"> :</w:t>
      </w:r>
      <w:r w:rsidRPr="00A7658B">
        <w:rPr>
          <w:rFonts w:ascii="Arial" w:hAnsi="Arial" w:cs="Arial"/>
          <w:color w:val="000000"/>
          <w:sz w:val="20"/>
          <w:szCs w:val="20"/>
        </w:rPr>
        <w:t xml:space="preserve"> Nakit Akış Tablosu</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15</w:t>
      </w:r>
      <w:r w:rsidRPr="005A7375">
        <w:rPr>
          <w:rFonts w:ascii="Arial" w:hAnsi="Arial" w:cs="Arial"/>
          <w:color w:val="000000"/>
          <w:sz w:val="20"/>
          <w:szCs w:val="20"/>
        </w:rPr>
        <w:t xml:space="preserve"> :</w:t>
      </w:r>
      <w:r w:rsidRPr="00A7658B">
        <w:rPr>
          <w:rFonts w:ascii="Arial" w:hAnsi="Arial" w:cs="Arial"/>
          <w:color w:val="000000"/>
          <w:sz w:val="20"/>
          <w:szCs w:val="20"/>
        </w:rPr>
        <w:t xml:space="preserve"> Özsermaye Değişim Tablosu</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17</w:t>
      </w:r>
      <w:r w:rsidRPr="005A7375">
        <w:rPr>
          <w:rFonts w:ascii="Arial" w:hAnsi="Arial" w:cs="Arial"/>
          <w:color w:val="000000"/>
          <w:sz w:val="20"/>
          <w:szCs w:val="20"/>
        </w:rPr>
        <w:t xml:space="preserve"> :</w:t>
      </w:r>
      <w:r w:rsidRPr="00A7658B">
        <w:rPr>
          <w:rFonts w:ascii="Arial" w:hAnsi="Arial" w:cs="Arial"/>
          <w:color w:val="000000"/>
          <w:sz w:val="20"/>
          <w:szCs w:val="20"/>
        </w:rPr>
        <w:t xml:space="preserve"> Aylık Bilanço</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18</w:t>
      </w:r>
      <w:r w:rsidRPr="005A7375">
        <w:rPr>
          <w:rFonts w:ascii="Arial" w:hAnsi="Arial" w:cs="Arial"/>
          <w:color w:val="000000"/>
          <w:sz w:val="20"/>
          <w:szCs w:val="20"/>
        </w:rPr>
        <w:t xml:space="preserve"> :</w:t>
      </w:r>
      <w:r w:rsidRPr="00A7658B">
        <w:rPr>
          <w:rFonts w:ascii="Arial" w:hAnsi="Arial" w:cs="Arial"/>
          <w:color w:val="000000"/>
          <w:sz w:val="20"/>
          <w:szCs w:val="20"/>
        </w:rPr>
        <w:t xml:space="preserve"> Aylık Gelir Tablosu</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19</w:t>
      </w:r>
      <w:r w:rsidRPr="005A7375">
        <w:rPr>
          <w:rFonts w:ascii="Arial" w:hAnsi="Arial" w:cs="Arial"/>
          <w:color w:val="000000"/>
          <w:sz w:val="20"/>
          <w:szCs w:val="20"/>
        </w:rPr>
        <w:t xml:space="preserve"> :</w:t>
      </w:r>
      <w:r w:rsidRPr="00A7658B">
        <w:rPr>
          <w:rFonts w:ascii="Arial" w:hAnsi="Arial" w:cs="Arial"/>
          <w:color w:val="000000"/>
          <w:sz w:val="20"/>
          <w:szCs w:val="20"/>
        </w:rPr>
        <w:t xml:space="preserve"> Kar Dağıtım Tablosu</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21</w:t>
      </w:r>
      <w:r w:rsidRPr="005A7375">
        <w:rPr>
          <w:rFonts w:ascii="Arial" w:hAnsi="Arial" w:cs="Arial"/>
          <w:color w:val="000000"/>
          <w:sz w:val="20"/>
          <w:szCs w:val="20"/>
        </w:rPr>
        <w:t xml:space="preserve"> :</w:t>
      </w:r>
      <w:r w:rsidRPr="00A7658B">
        <w:rPr>
          <w:rFonts w:ascii="Arial" w:hAnsi="Arial" w:cs="Arial"/>
          <w:color w:val="000000"/>
          <w:sz w:val="20"/>
          <w:szCs w:val="20"/>
        </w:rPr>
        <w:t xml:space="preserve"> Sermaye Yeterliliği</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22</w:t>
      </w:r>
      <w:r w:rsidRPr="005A7375">
        <w:rPr>
          <w:rFonts w:ascii="Arial" w:hAnsi="Arial" w:cs="Arial"/>
          <w:color w:val="000000"/>
          <w:sz w:val="20"/>
          <w:szCs w:val="20"/>
        </w:rPr>
        <w:t xml:space="preserve"> :</w:t>
      </w:r>
      <w:r w:rsidRPr="00A7658B">
        <w:rPr>
          <w:rFonts w:ascii="Arial" w:hAnsi="Arial" w:cs="Arial"/>
          <w:color w:val="000000"/>
          <w:sz w:val="20"/>
          <w:szCs w:val="20"/>
        </w:rPr>
        <w:t xml:space="preserve"> Risk Birikim Tablosu</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34</w:t>
      </w:r>
      <w:r w:rsidRPr="005A7375">
        <w:rPr>
          <w:rFonts w:ascii="Arial" w:hAnsi="Arial" w:cs="Arial"/>
          <w:color w:val="000000"/>
          <w:sz w:val="20"/>
          <w:szCs w:val="20"/>
        </w:rPr>
        <w:t xml:space="preserve"> :</w:t>
      </w:r>
      <w:r w:rsidRPr="00A7658B">
        <w:rPr>
          <w:rFonts w:ascii="Arial" w:hAnsi="Arial" w:cs="Arial"/>
          <w:color w:val="000000"/>
          <w:sz w:val="20"/>
          <w:szCs w:val="20"/>
        </w:rPr>
        <w:t xml:space="preserve"> Poliçe</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35</w:t>
      </w:r>
      <w:r w:rsidRPr="005A7375">
        <w:rPr>
          <w:rFonts w:ascii="Arial" w:hAnsi="Arial" w:cs="Arial"/>
          <w:color w:val="000000"/>
          <w:sz w:val="20"/>
          <w:szCs w:val="20"/>
        </w:rPr>
        <w:t xml:space="preserve"> :</w:t>
      </w:r>
      <w:r w:rsidRPr="00A7658B">
        <w:rPr>
          <w:rFonts w:ascii="Arial" w:hAnsi="Arial" w:cs="Arial"/>
          <w:color w:val="000000"/>
          <w:sz w:val="20"/>
          <w:szCs w:val="20"/>
        </w:rPr>
        <w:t xml:space="preserve"> Temel Veriler</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41</w:t>
      </w:r>
      <w:r w:rsidRPr="005A7375">
        <w:rPr>
          <w:rFonts w:ascii="Arial" w:hAnsi="Arial" w:cs="Arial"/>
          <w:color w:val="000000"/>
          <w:sz w:val="20"/>
          <w:szCs w:val="20"/>
        </w:rPr>
        <w:t xml:space="preserve"> :</w:t>
      </w:r>
      <w:r w:rsidRPr="00A7658B">
        <w:rPr>
          <w:rFonts w:ascii="Arial" w:hAnsi="Arial" w:cs="Arial"/>
          <w:color w:val="000000"/>
          <w:sz w:val="20"/>
          <w:szCs w:val="20"/>
        </w:rPr>
        <w:t xml:space="preserve"> Prim Alacaklarının Sigorta Dalları İtibariyle Dağılımı</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42</w:t>
      </w:r>
      <w:r w:rsidRPr="005A7375">
        <w:rPr>
          <w:rFonts w:ascii="Arial" w:hAnsi="Arial" w:cs="Arial"/>
          <w:color w:val="000000"/>
          <w:sz w:val="20"/>
          <w:szCs w:val="20"/>
        </w:rPr>
        <w:t xml:space="preserve"> :</w:t>
      </w:r>
      <w:r w:rsidRPr="00A7658B">
        <w:rPr>
          <w:rFonts w:ascii="Arial" w:hAnsi="Arial" w:cs="Arial"/>
          <w:color w:val="000000"/>
          <w:sz w:val="20"/>
          <w:szCs w:val="20"/>
        </w:rPr>
        <w:t xml:space="preserve"> Prim Alacaklarının Sigorta Dalları İtibariyle Dağılımı</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43</w:t>
      </w:r>
      <w:r w:rsidRPr="005A7375">
        <w:rPr>
          <w:rFonts w:ascii="Arial" w:hAnsi="Arial" w:cs="Arial"/>
          <w:color w:val="000000"/>
          <w:sz w:val="20"/>
          <w:szCs w:val="20"/>
        </w:rPr>
        <w:t xml:space="preserve"> :</w:t>
      </w:r>
      <w:r w:rsidRPr="00A7658B">
        <w:rPr>
          <w:rFonts w:ascii="Arial" w:hAnsi="Arial" w:cs="Arial"/>
          <w:color w:val="000000"/>
          <w:sz w:val="20"/>
          <w:szCs w:val="20"/>
        </w:rPr>
        <w:t xml:space="preserve"> Acenteler Muaccel</w:t>
      </w:r>
    </w:p>
    <w:p w:rsidR="006257F1" w:rsidRPr="005A7375"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54</w:t>
      </w:r>
      <w:r w:rsidRPr="005A7375">
        <w:rPr>
          <w:rFonts w:ascii="Arial" w:hAnsi="Arial" w:cs="Arial"/>
          <w:color w:val="000000"/>
          <w:sz w:val="20"/>
          <w:szCs w:val="20"/>
        </w:rPr>
        <w:t xml:space="preserve"> : </w:t>
      </w:r>
      <w:r w:rsidRPr="00A7658B">
        <w:rPr>
          <w:rFonts w:ascii="Arial" w:hAnsi="Arial" w:cs="Arial"/>
          <w:color w:val="000000"/>
          <w:sz w:val="20"/>
          <w:szCs w:val="20"/>
        </w:rPr>
        <w:t>Muallak Hasar ve Tazminat Karşılığı Yeterlilik Tablosu</w:t>
      </w:r>
    </w:p>
    <w:p w:rsidR="006257F1" w:rsidRPr="005A7375"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55</w:t>
      </w:r>
      <w:r w:rsidRPr="005A7375">
        <w:rPr>
          <w:rFonts w:ascii="Arial" w:hAnsi="Arial" w:cs="Arial"/>
          <w:color w:val="000000"/>
          <w:sz w:val="20"/>
          <w:szCs w:val="20"/>
        </w:rPr>
        <w:t xml:space="preserve"> : </w:t>
      </w:r>
      <w:r w:rsidRPr="00A7658B">
        <w:rPr>
          <w:rFonts w:ascii="Arial" w:hAnsi="Arial" w:cs="Arial"/>
          <w:color w:val="000000"/>
          <w:sz w:val="20"/>
          <w:szCs w:val="20"/>
        </w:rPr>
        <w:t>Muallak Hasar Detay Tablosu</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61</w:t>
      </w:r>
      <w:r w:rsidRPr="005A7375">
        <w:rPr>
          <w:rFonts w:ascii="Arial" w:hAnsi="Arial" w:cs="Arial"/>
          <w:color w:val="000000"/>
          <w:sz w:val="20"/>
          <w:szCs w:val="20"/>
        </w:rPr>
        <w:t xml:space="preserve"> :</w:t>
      </w:r>
      <w:r w:rsidRPr="00A7658B">
        <w:rPr>
          <w:rFonts w:ascii="Arial" w:hAnsi="Arial" w:cs="Arial"/>
          <w:color w:val="000000"/>
          <w:sz w:val="20"/>
          <w:szCs w:val="20"/>
        </w:rPr>
        <w:t xml:space="preserve"> Teminat</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62</w:t>
      </w:r>
      <w:r w:rsidRPr="005A7375">
        <w:rPr>
          <w:rFonts w:ascii="Arial" w:hAnsi="Arial" w:cs="Arial"/>
          <w:color w:val="000000"/>
          <w:sz w:val="20"/>
          <w:szCs w:val="20"/>
        </w:rPr>
        <w:t xml:space="preserve"> :</w:t>
      </w:r>
      <w:r w:rsidRPr="00A7658B">
        <w:rPr>
          <w:rFonts w:ascii="Arial" w:hAnsi="Arial" w:cs="Arial"/>
          <w:color w:val="000000"/>
          <w:sz w:val="20"/>
          <w:szCs w:val="20"/>
        </w:rPr>
        <w:t xml:space="preserve"> Varlık Transferi</w:t>
      </w:r>
    </w:p>
    <w:p w:rsidR="006257F1" w:rsidRPr="00A7658B" w:rsidRDefault="006257F1" w:rsidP="005A7375">
      <w:pPr>
        <w:spacing w:after="0" w:line="276" w:lineRule="auto"/>
        <w:ind w:left="170"/>
        <w:rPr>
          <w:rFonts w:ascii="Arial" w:hAnsi="Arial" w:cs="Arial"/>
          <w:color w:val="000000"/>
          <w:sz w:val="20"/>
          <w:szCs w:val="20"/>
        </w:rPr>
      </w:pPr>
      <w:r w:rsidRPr="005A7375">
        <w:rPr>
          <w:rFonts w:ascii="Arial" w:hAnsi="Arial" w:cs="Arial"/>
          <w:b/>
          <w:color w:val="000000"/>
          <w:sz w:val="20"/>
          <w:szCs w:val="20"/>
        </w:rPr>
        <w:t>Tablo 63</w:t>
      </w:r>
      <w:r w:rsidRPr="005A7375">
        <w:rPr>
          <w:rFonts w:ascii="Arial" w:hAnsi="Arial" w:cs="Arial"/>
          <w:color w:val="000000"/>
          <w:sz w:val="20"/>
          <w:szCs w:val="20"/>
        </w:rPr>
        <w:t xml:space="preserve"> :</w:t>
      </w:r>
      <w:r w:rsidRPr="00A7658B">
        <w:rPr>
          <w:rFonts w:ascii="Arial" w:hAnsi="Arial" w:cs="Arial"/>
          <w:color w:val="000000"/>
          <w:sz w:val="20"/>
          <w:szCs w:val="20"/>
        </w:rPr>
        <w:t xml:space="preserve"> Döviz Yükümlülük</w:t>
      </w:r>
    </w:p>
    <w:p w:rsidR="006257F1" w:rsidRPr="00A7658B" w:rsidRDefault="006257F1" w:rsidP="006257F1">
      <w:pPr>
        <w:pStyle w:val="NormalWeb"/>
        <w:spacing w:before="0" w:beforeAutospacing="0" w:after="0" w:afterAutospacing="0"/>
        <w:ind w:firstLine="708"/>
        <w:rPr>
          <w:rFonts w:ascii="Arial" w:hAnsi="Arial" w:cs="Arial"/>
          <w:color w:val="000000"/>
          <w:position w:val="0"/>
          <w:sz w:val="20"/>
          <w:szCs w:val="20"/>
        </w:rPr>
      </w:pPr>
    </w:p>
    <w:p w:rsidR="006257F1" w:rsidRPr="00A7658B" w:rsidRDefault="006257F1" w:rsidP="005A7375">
      <w:pPr>
        <w:spacing w:after="0" w:line="276" w:lineRule="auto"/>
        <w:ind w:left="170"/>
        <w:rPr>
          <w:rFonts w:ascii="Arial" w:hAnsi="Arial" w:cs="Arial"/>
          <w:color w:val="000000"/>
          <w:sz w:val="20"/>
          <w:szCs w:val="20"/>
        </w:rPr>
      </w:pPr>
      <w:r w:rsidRPr="00A7658B">
        <w:rPr>
          <w:rFonts w:ascii="Arial" w:hAnsi="Arial" w:cs="Arial"/>
          <w:color w:val="000000"/>
          <w:sz w:val="20"/>
          <w:szCs w:val="20"/>
        </w:rPr>
        <w:t>Yukarıda sayılan tablolar dışında kalan tabloların ise Mobil İmza kullanılmaksızın sadece Mobil İmza Portalı’na yüklenmesi gerekmektedir. Her bir tablonun mobil imzalanması için tanımlanan süre 15 gün olup, bu süre içerisinde tamamlanmayan imzalar için sistem tarafından uyarı mesajı yollanacaktır. Halihazırda yürütülen çalışmaların bitmesinin ardından 11 Haziran 2010 tarihi itibariyle SGS Portalı ile Mobil İmza portalı birleştirilerek tek bir portal haline getirilmiştir.</w:t>
      </w:r>
    </w:p>
    <w:p w:rsidR="006257F1" w:rsidRPr="00A7658B" w:rsidRDefault="006257F1" w:rsidP="005A7375">
      <w:pPr>
        <w:spacing w:after="0" w:line="276" w:lineRule="auto"/>
        <w:ind w:left="170"/>
        <w:rPr>
          <w:rFonts w:ascii="Arial" w:hAnsi="Arial" w:cs="Arial"/>
          <w:color w:val="000000"/>
          <w:sz w:val="20"/>
          <w:szCs w:val="20"/>
        </w:rPr>
      </w:pPr>
    </w:p>
    <w:p w:rsidR="006257F1" w:rsidRPr="005A7375" w:rsidRDefault="006257F1" w:rsidP="005A7375">
      <w:pPr>
        <w:spacing w:after="0" w:line="276" w:lineRule="auto"/>
        <w:ind w:left="170"/>
        <w:rPr>
          <w:rFonts w:ascii="Arial" w:hAnsi="Arial" w:cs="Arial"/>
          <w:color w:val="000000"/>
          <w:sz w:val="20"/>
          <w:szCs w:val="20"/>
        </w:rPr>
      </w:pPr>
      <w:r w:rsidRPr="005A7375">
        <w:rPr>
          <w:rFonts w:ascii="Arial" w:hAnsi="Arial" w:cs="Arial"/>
          <w:color w:val="000000"/>
          <w:sz w:val="20"/>
          <w:szCs w:val="20"/>
        </w:rPr>
        <w:t xml:space="preserve">Ayrıca; şirketlerce mobil imzaya yetkili olan kişiler ile ilgili yapılan değişikliklerin her ay yüklenen Tablo 31’e kaydedilmesinin yanı sıra bu değişikliklerin  </w:t>
      </w:r>
      <w:hyperlink r:id="rId7" w:tgtFrame="_blank" w:history="1">
        <w:r w:rsidRPr="005A7375">
          <w:rPr>
            <w:rFonts w:ascii="Arial" w:hAnsi="Arial" w:cs="Arial"/>
            <w:color w:val="000000"/>
            <w:sz w:val="20"/>
            <w:szCs w:val="20"/>
          </w:rPr>
          <w:t>sigortacilik.gozetimi@hazine.gov.tr</w:t>
        </w:r>
      </w:hyperlink>
      <w:r w:rsidRPr="005A7375">
        <w:rPr>
          <w:rFonts w:ascii="Arial" w:hAnsi="Arial" w:cs="Arial"/>
          <w:color w:val="000000"/>
          <w:sz w:val="20"/>
          <w:szCs w:val="20"/>
        </w:rPr>
        <w:t xml:space="preserve"> adresine elektronik posta ile yollanması gerekmektedir.</w:t>
      </w:r>
    </w:p>
    <w:p w:rsidR="006257F1" w:rsidRDefault="006257F1" w:rsidP="006257F1">
      <w:pPr>
        <w:pStyle w:val="NormalWeb"/>
        <w:spacing w:before="0" w:beforeAutospacing="0" w:after="0" w:afterAutospacing="0"/>
        <w:ind w:firstLine="708"/>
        <w:rPr>
          <w:rFonts w:ascii="Arial" w:hAnsi="Arial" w:cs="Arial"/>
          <w:position w:val="0"/>
          <w:sz w:val="20"/>
          <w:szCs w:val="20"/>
        </w:rPr>
      </w:pPr>
    </w:p>
    <w:p w:rsidR="006257F1" w:rsidRDefault="006257F1" w:rsidP="006257F1">
      <w:pPr>
        <w:pStyle w:val="NormalWeb"/>
        <w:spacing w:before="0" w:beforeAutospacing="0" w:after="0" w:afterAutospacing="0"/>
        <w:ind w:firstLine="708"/>
        <w:rPr>
          <w:rFonts w:ascii="Arial" w:hAnsi="Arial" w:cs="Arial"/>
          <w:position w:val="0"/>
          <w:sz w:val="20"/>
          <w:szCs w:val="20"/>
        </w:rPr>
      </w:pPr>
    </w:p>
    <w:tbl>
      <w:tblPr>
        <w:tblStyle w:val="TabloKlavuzu"/>
        <w:tblpPr w:leftFromText="141" w:rightFromText="141" w:vertAnchor="text" w:horzAnchor="margin" w:tblpY="130"/>
        <w:tblW w:w="0" w:type="auto"/>
        <w:tblInd w:w="0" w:type="dxa"/>
        <w:tblLook w:val="04A0" w:firstRow="1" w:lastRow="0" w:firstColumn="1" w:lastColumn="0" w:noHBand="0" w:noVBand="1"/>
      </w:tblPr>
      <w:tblGrid>
        <w:gridCol w:w="3016"/>
        <w:gridCol w:w="3019"/>
        <w:gridCol w:w="2462"/>
      </w:tblGrid>
      <w:tr w:rsidR="006257F1" w:rsidTr="001876B8">
        <w:trPr>
          <w:trHeight w:val="289"/>
        </w:trPr>
        <w:tc>
          <w:tcPr>
            <w:tcW w:w="8497" w:type="dxa"/>
            <w:gridSpan w:val="3"/>
          </w:tcPr>
          <w:p w:rsidR="006257F1" w:rsidRPr="006257F1" w:rsidRDefault="006257F1" w:rsidP="001876B8">
            <w:pPr>
              <w:jc w:val="center"/>
              <w:rPr>
                <w:b/>
                <w:sz w:val="20"/>
              </w:rPr>
            </w:pPr>
            <w:r w:rsidRPr="006257F1">
              <w:rPr>
                <w:b/>
                <w:sz w:val="20"/>
              </w:rPr>
              <w:t>Sektör Duyurusu’nun</w:t>
            </w:r>
          </w:p>
        </w:tc>
      </w:tr>
      <w:tr w:rsidR="006257F1" w:rsidTr="001876B8">
        <w:trPr>
          <w:trHeight w:val="289"/>
        </w:trPr>
        <w:tc>
          <w:tcPr>
            <w:tcW w:w="3016" w:type="dxa"/>
          </w:tcPr>
          <w:p w:rsidR="006257F1" w:rsidRPr="006257F1" w:rsidRDefault="006257F1" w:rsidP="001876B8">
            <w:pPr>
              <w:jc w:val="center"/>
              <w:rPr>
                <w:b/>
                <w:sz w:val="20"/>
              </w:rPr>
            </w:pPr>
            <w:r w:rsidRPr="006257F1">
              <w:rPr>
                <w:b/>
                <w:sz w:val="20"/>
              </w:rPr>
              <w:lastRenderedPageBreak/>
              <w:t>Numarası</w:t>
            </w:r>
          </w:p>
        </w:tc>
        <w:tc>
          <w:tcPr>
            <w:tcW w:w="3019" w:type="dxa"/>
          </w:tcPr>
          <w:p w:rsidR="006257F1" w:rsidRPr="006257F1" w:rsidRDefault="006257F1" w:rsidP="001876B8">
            <w:pPr>
              <w:jc w:val="center"/>
              <w:rPr>
                <w:b/>
                <w:sz w:val="20"/>
              </w:rPr>
            </w:pPr>
            <w:r w:rsidRPr="006257F1">
              <w:rPr>
                <w:b/>
                <w:sz w:val="20"/>
              </w:rPr>
              <w:t>Kabul Tarihi</w:t>
            </w:r>
          </w:p>
        </w:tc>
        <w:tc>
          <w:tcPr>
            <w:tcW w:w="2462" w:type="dxa"/>
          </w:tcPr>
          <w:p w:rsidR="006257F1" w:rsidRPr="006257F1" w:rsidRDefault="006257F1" w:rsidP="001876B8">
            <w:pPr>
              <w:jc w:val="center"/>
              <w:rPr>
                <w:b/>
                <w:sz w:val="20"/>
              </w:rPr>
            </w:pPr>
            <w:r w:rsidRPr="006257F1">
              <w:rPr>
                <w:b/>
                <w:sz w:val="20"/>
              </w:rPr>
              <w:t>Yürürlüğe Giriş Tarihi</w:t>
            </w:r>
          </w:p>
        </w:tc>
      </w:tr>
      <w:tr w:rsidR="006257F1" w:rsidTr="001876B8">
        <w:trPr>
          <w:trHeight w:val="289"/>
        </w:trPr>
        <w:tc>
          <w:tcPr>
            <w:tcW w:w="3016" w:type="dxa"/>
          </w:tcPr>
          <w:p w:rsidR="006257F1" w:rsidRPr="006257F1" w:rsidRDefault="006257F1" w:rsidP="001876B8">
            <w:pPr>
              <w:jc w:val="center"/>
              <w:rPr>
                <w:sz w:val="20"/>
              </w:rPr>
            </w:pPr>
            <w:r w:rsidRPr="006257F1">
              <w:rPr>
                <w:sz w:val="20"/>
              </w:rPr>
              <w:t>2010/19</w:t>
            </w:r>
          </w:p>
        </w:tc>
        <w:tc>
          <w:tcPr>
            <w:tcW w:w="3019" w:type="dxa"/>
          </w:tcPr>
          <w:p w:rsidR="006257F1" w:rsidRPr="006257F1" w:rsidRDefault="006257F1" w:rsidP="001876B8">
            <w:pPr>
              <w:jc w:val="center"/>
              <w:rPr>
                <w:sz w:val="20"/>
              </w:rPr>
            </w:pPr>
            <w:r w:rsidRPr="006257F1">
              <w:rPr>
                <w:sz w:val="20"/>
              </w:rPr>
              <w:t>11.06.2010</w:t>
            </w:r>
          </w:p>
        </w:tc>
        <w:tc>
          <w:tcPr>
            <w:tcW w:w="2462" w:type="dxa"/>
          </w:tcPr>
          <w:p w:rsidR="006257F1" w:rsidRPr="006257F1" w:rsidRDefault="006257F1" w:rsidP="001876B8">
            <w:pPr>
              <w:jc w:val="center"/>
              <w:rPr>
                <w:sz w:val="20"/>
              </w:rPr>
            </w:pPr>
            <w:r w:rsidRPr="006257F1">
              <w:rPr>
                <w:sz w:val="20"/>
              </w:rPr>
              <w:t>11.06.2010</w:t>
            </w:r>
          </w:p>
        </w:tc>
      </w:tr>
    </w:tbl>
    <w:p w:rsidR="00831137" w:rsidRDefault="00831137"/>
    <w:sectPr w:rsidR="008311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7F1" w:rsidRDefault="006257F1" w:rsidP="006257F1">
      <w:pPr>
        <w:spacing w:after="0" w:line="240" w:lineRule="auto"/>
      </w:pPr>
      <w:r>
        <w:separator/>
      </w:r>
    </w:p>
  </w:endnote>
  <w:endnote w:type="continuationSeparator" w:id="0">
    <w:p w:rsidR="006257F1" w:rsidRDefault="006257F1" w:rsidP="0062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7F1" w:rsidRPr="005A7375" w:rsidRDefault="005A7375" w:rsidP="005A7375">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7F1" w:rsidRPr="005A7375" w:rsidRDefault="005A7375" w:rsidP="005A7375">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7F1" w:rsidRPr="005A7375" w:rsidRDefault="005A7375" w:rsidP="005A7375">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7F1" w:rsidRDefault="006257F1" w:rsidP="006257F1">
      <w:pPr>
        <w:spacing w:after="0" w:line="240" w:lineRule="auto"/>
      </w:pPr>
      <w:r>
        <w:separator/>
      </w:r>
    </w:p>
  </w:footnote>
  <w:footnote w:type="continuationSeparator" w:id="0">
    <w:p w:rsidR="006257F1" w:rsidRDefault="006257F1" w:rsidP="00625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7F1" w:rsidRDefault="006257F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7F1" w:rsidRDefault="006257F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7F1" w:rsidRDefault="006257F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F3"/>
    <w:rsid w:val="00287916"/>
    <w:rsid w:val="005A7375"/>
    <w:rsid w:val="006257F1"/>
    <w:rsid w:val="00831137"/>
    <w:rsid w:val="00A7658B"/>
    <w:rsid w:val="00D02B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9A0D46"/>
  <w15:chartTrackingRefBased/>
  <w15:docId w15:val="{2119A1EC-0E58-45F7-A0D3-A776C80A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7F1"/>
  </w:style>
  <w:style w:type="paragraph" w:styleId="Balk2">
    <w:name w:val="heading 2"/>
    <w:basedOn w:val="Normal"/>
    <w:next w:val="Normal"/>
    <w:link w:val="Balk2Char"/>
    <w:uiPriority w:val="9"/>
    <w:unhideWhenUsed/>
    <w:qFormat/>
    <w:rsid w:val="006257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257F1"/>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6257F1"/>
  </w:style>
  <w:style w:type="character" w:customStyle="1" w:styleId="document-info-label">
    <w:name w:val="document-info-label"/>
    <w:rsid w:val="006257F1"/>
  </w:style>
  <w:style w:type="paragraph" w:styleId="NormalWeb">
    <w:name w:val="Normal (Web)"/>
    <w:aliases w:val=" Char,Normal (Web) Char Char,Normal (Web) Char Char Char Char,Normal (Web) Char Char Char"/>
    <w:basedOn w:val="Normal"/>
    <w:link w:val="NormalWebChar"/>
    <w:uiPriority w:val="99"/>
    <w:rsid w:val="006257F1"/>
    <w:pPr>
      <w:spacing w:before="100" w:beforeAutospacing="1" w:after="100" w:afterAutospacing="1" w:line="240" w:lineRule="auto"/>
      <w:jc w:val="both"/>
    </w:pPr>
    <w:rPr>
      <w:rFonts w:ascii="Times New Roman" w:eastAsia="Times New Roman" w:hAnsi="Times New Roman" w:cs="Times New Roman"/>
      <w:noProof/>
      <w:kern w:val="16"/>
      <w:position w:val="24"/>
      <w:sz w:val="24"/>
      <w:szCs w:val="24"/>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6257F1"/>
    <w:rPr>
      <w:rFonts w:ascii="Times New Roman" w:eastAsia="Times New Roman" w:hAnsi="Times New Roman" w:cs="Times New Roman"/>
      <w:noProof/>
      <w:kern w:val="16"/>
      <w:position w:val="24"/>
      <w:sz w:val="24"/>
      <w:szCs w:val="24"/>
    </w:rPr>
  </w:style>
  <w:style w:type="table" w:styleId="TabloKlavuzu">
    <w:name w:val="Table Grid"/>
    <w:basedOn w:val="NormalTablo"/>
    <w:uiPriority w:val="59"/>
    <w:rsid w:val="006257F1"/>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6257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7F1"/>
  </w:style>
  <w:style w:type="paragraph" w:styleId="AltBilgi">
    <w:name w:val="footer"/>
    <w:basedOn w:val="Normal"/>
    <w:link w:val="AltBilgiChar"/>
    <w:uiPriority w:val="99"/>
    <w:unhideWhenUsed/>
    <w:rsid w:val="006257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igortacilik.gozetimi@hazine.gov.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D5F675B-0FF7-486F-AB1F-21F3EC0BF8B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2299</Characters>
  <Application>Microsoft Office Word</Application>
  <DocSecurity>0</DocSecurity>
  <Lines>19</Lines>
  <Paragraphs>5</Paragraphs>
  <ScaleCrop>false</ScaleCrop>
  <Company>EGM</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2022-12-16T07:00:00Z</dcterms:created>
  <dcterms:modified xsi:type="dcterms:W3CDTF">2023-01-09T13:37:00Z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60290581-eb57-42c7-b918-90bb5737c720</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