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3136CE" w14:textId="23EC0325" w:rsidR="005E482B" w:rsidRDefault="005E482B" w:rsidP="005E482B">
      <w:pPr>
        <w:tabs>
          <w:tab w:val="left" w:pos="1418"/>
          <w:tab w:val="left" w:pos="3969"/>
        </w:tabs>
        <w:spacing w:line="259" w:lineRule="auto"/>
        <w:jc w:val="left"/>
        <w:rPr>
          <w:bCs/>
        </w:rPr>
      </w:pPr>
      <w:r>
        <w:rPr>
          <w:b/>
          <w:bCs/>
        </w:rPr>
        <w:t>Kanun No</w:t>
      </w:r>
      <w:r>
        <w:rPr>
          <w:b/>
          <w:bCs/>
        </w:rPr>
        <w:tab/>
        <w:t xml:space="preserve">: </w:t>
      </w:r>
      <w:r w:rsidR="005C7890">
        <w:rPr>
          <w:bCs/>
        </w:rPr>
        <w:t>5520</w:t>
      </w:r>
      <w:r>
        <w:rPr>
          <w:bCs/>
        </w:rPr>
        <w:tab/>
      </w:r>
      <w:r>
        <w:rPr>
          <w:bCs/>
        </w:rPr>
        <w:tab/>
        <w:t xml:space="preserve">    </w:t>
      </w:r>
      <w:r>
        <w:rPr>
          <w:bCs/>
        </w:rPr>
        <w:tab/>
        <w:t xml:space="preserve"> </w:t>
      </w:r>
      <w:r>
        <w:rPr>
          <w:b/>
          <w:bCs/>
        </w:rPr>
        <w:t>Resmi Gazete No</w:t>
      </w:r>
      <w:r>
        <w:rPr>
          <w:b/>
          <w:bCs/>
        </w:rPr>
        <w:tab/>
        <w:t>:</w:t>
      </w:r>
      <w:r>
        <w:rPr>
          <w:bCs/>
        </w:rPr>
        <w:t xml:space="preserve"> </w:t>
      </w:r>
      <w:r w:rsidR="005C7890" w:rsidRPr="005C7890">
        <w:rPr>
          <w:bCs/>
        </w:rPr>
        <w:t>26205</w:t>
      </w:r>
    </w:p>
    <w:p w14:paraId="43106091" w14:textId="1477531D" w:rsidR="005E482B" w:rsidRDefault="005E482B" w:rsidP="005E482B">
      <w:pPr>
        <w:widowControl w:val="0"/>
        <w:tabs>
          <w:tab w:val="left" w:pos="1260"/>
          <w:tab w:val="left" w:pos="1418"/>
          <w:tab w:val="left" w:pos="3969"/>
        </w:tabs>
        <w:ind w:right="170"/>
        <w:rPr>
          <w:bCs/>
        </w:rPr>
      </w:pPr>
      <w:r>
        <w:rPr>
          <w:b/>
          <w:bCs/>
        </w:rPr>
        <w:t>Kabul Tarihi</w:t>
      </w:r>
      <w:r>
        <w:rPr>
          <w:b/>
          <w:bCs/>
        </w:rPr>
        <w:tab/>
      </w:r>
      <w:r>
        <w:rPr>
          <w:b/>
          <w:bCs/>
        </w:rPr>
        <w:tab/>
        <w:t xml:space="preserve">: </w:t>
      </w:r>
      <w:r w:rsidR="005C7890" w:rsidRPr="005C7890">
        <w:rPr>
          <w:bCs/>
        </w:rPr>
        <w:t>13</w:t>
      </w:r>
      <w:r w:rsidR="005C7890">
        <w:rPr>
          <w:bCs/>
        </w:rPr>
        <w:t>.0</w:t>
      </w:r>
      <w:r w:rsidR="005C7890" w:rsidRPr="005C7890">
        <w:rPr>
          <w:bCs/>
        </w:rPr>
        <w:t>6</w:t>
      </w:r>
      <w:r w:rsidR="005C7890">
        <w:rPr>
          <w:bCs/>
        </w:rPr>
        <w:t>.</w:t>
      </w:r>
      <w:r w:rsidR="005C7890" w:rsidRPr="005C7890">
        <w:rPr>
          <w:bCs/>
        </w:rPr>
        <w:t>2006</w:t>
      </w:r>
      <w:r>
        <w:rPr>
          <w:bCs/>
        </w:rPr>
        <w:tab/>
      </w:r>
      <w:r>
        <w:rPr>
          <w:bCs/>
        </w:rPr>
        <w:tab/>
        <w:t xml:space="preserve">      </w:t>
      </w:r>
      <w:r>
        <w:rPr>
          <w:bCs/>
        </w:rPr>
        <w:tab/>
        <w:t xml:space="preserve"> </w:t>
      </w:r>
      <w:r>
        <w:rPr>
          <w:b/>
          <w:bCs/>
        </w:rPr>
        <w:t>Resmi Gazete Tarihi</w:t>
      </w:r>
      <w:r>
        <w:rPr>
          <w:b/>
          <w:bCs/>
        </w:rPr>
        <w:tab/>
        <w:t>:</w:t>
      </w:r>
      <w:r>
        <w:rPr>
          <w:bCs/>
        </w:rPr>
        <w:t xml:space="preserve"> </w:t>
      </w:r>
      <w:r w:rsidR="005C7890" w:rsidRPr="005C7890">
        <w:rPr>
          <w:bCs/>
        </w:rPr>
        <w:t>21</w:t>
      </w:r>
      <w:r w:rsidR="005C7890">
        <w:rPr>
          <w:bCs/>
        </w:rPr>
        <w:t>.0</w:t>
      </w:r>
      <w:r w:rsidR="005C7890" w:rsidRPr="005C7890">
        <w:rPr>
          <w:bCs/>
        </w:rPr>
        <w:t>6</w:t>
      </w:r>
      <w:r w:rsidR="005C7890">
        <w:rPr>
          <w:bCs/>
        </w:rPr>
        <w:t>.</w:t>
      </w:r>
      <w:r w:rsidR="005C7890" w:rsidRPr="005C7890">
        <w:rPr>
          <w:bCs/>
        </w:rPr>
        <w:t>2006</w:t>
      </w:r>
    </w:p>
    <w:p w14:paraId="66556B72" w14:textId="77777777" w:rsidR="005E482B" w:rsidRDefault="005E482B" w:rsidP="005E482B">
      <w:pPr>
        <w:widowControl w:val="0"/>
        <w:tabs>
          <w:tab w:val="left" w:pos="1260"/>
          <w:tab w:val="left" w:pos="1418"/>
          <w:tab w:val="left" w:pos="3969"/>
        </w:tabs>
        <w:ind w:right="170"/>
        <w:rPr>
          <w:bCs/>
        </w:rPr>
      </w:pPr>
      <w:r w:rsidRPr="001A4119">
        <w:rPr>
          <w:rFonts w:ascii="Times New Roman" w:eastAsia="Times New Roman" w:hAnsi="Times New Roman" w:cs="Times New Roman"/>
          <w:b/>
          <w:bCs/>
          <w:kern w:val="0"/>
          <w:sz w:val="24"/>
          <w:szCs w:val="24"/>
          <w:lang w:eastAsia="tr-TR"/>
        </w:rPr>
        <w:t xml:space="preserve">   </w:t>
      </w:r>
    </w:p>
    <w:p w14:paraId="7607ED45" w14:textId="77777777" w:rsidR="005E482B" w:rsidRDefault="005E482B" w:rsidP="005E482B">
      <w:pPr>
        <w:widowControl w:val="0"/>
        <w:tabs>
          <w:tab w:val="left" w:pos="1260"/>
        </w:tabs>
        <w:ind w:left="170" w:right="170"/>
        <w:rPr>
          <w:bCs/>
        </w:rPr>
      </w:pPr>
    </w:p>
    <w:p w14:paraId="29266FBF" w14:textId="0AD6C355" w:rsidR="005E482B" w:rsidRDefault="005C7890" w:rsidP="00794A52">
      <w:pPr>
        <w:pStyle w:val="Heading2"/>
        <w:spacing w:line="276" w:lineRule="auto"/>
      </w:pPr>
      <w:r w:rsidRPr="005C7890">
        <w:t xml:space="preserve">KURUMLAR VERGİSİ </w:t>
      </w:r>
      <w:r w:rsidR="005E482B" w:rsidRPr="001854E8">
        <w:t>KANUNU</w:t>
      </w:r>
    </w:p>
    <w:p w14:paraId="4299B9A5" w14:textId="77777777" w:rsidR="00794A52" w:rsidRPr="00794A52" w:rsidRDefault="00794A52" w:rsidP="00794A52">
      <w:pPr>
        <w:jc w:val="center"/>
        <w:rPr>
          <w:b/>
          <w:sz w:val="24"/>
          <w:szCs w:val="24"/>
          <w:lang w:eastAsia="tr-TR"/>
        </w:rPr>
      </w:pPr>
      <w:r w:rsidRPr="00794A52">
        <w:rPr>
          <w:b/>
          <w:sz w:val="24"/>
          <w:szCs w:val="24"/>
          <w:lang w:eastAsia="tr-TR"/>
        </w:rPr>
        <w:t>(İLGİLİ MADDELER)</w:t>
      </w:r>
    </w:p>
    <w:p w14:paraId="1E73BED1" w14:textId="77777777" w:rsidR="005E482B" w:rsidRDefault="005E482B" w:rsidP="00794A52">
      <w:pPr>
        <w:widowControl w:val="0"/>
        <w:tabs>
          <w:tab w:val="left" w:pos="1260"/>
        </w:tabs>
        <w:spacing w:line="276" w:lineRule="auto"/>
        <w:ind w:left="170" w:right="170"/>
        <w:rPr>
          <w:b/>
          <w:bCs/>
        </w:rPr>
      </w:pPr>
    </w:p>
    <w:p w14:paraId="596C2387" w14:textId="77777777" w:rsidR="005E482B" w:rsidRDefault="005E482B" w:rsidP="00794A52">
      <w:pPr>
        <w:spacing w:line="276" w:lineRule="auto"/>
        <w:ind w:firstLine="567"/>
        <w:rPr>
          <w:rFonts w:ascii="Times New Roman" w:eastAsia="Times New Roman" w:hAnsi="Times New Roman" w:cs="Times New Roman"/>
          <w:i/>
          <w:iCs/>
          <w:kern w:val="0"/>
          <w:sz w:val="18"/>
          <w:szCs w:val="18"/>
          <w:lang w:eastAsia="tr-TR"/>
        </w:rPr>
      </w:pPr>
    </w:p>
    <w:p w14:paraId="0C1C88BA" w14:textId="77777777" w:rsidR="005C7890" w:rsidRPr="005C7890" w:rsidRDefault="005C7890" w:rsidP="005C7890">
      <w:pPr>
        <w:spacing w:line="276" w:lineRule="auto"/>
        <w:ind w:firstLine="567"/>
        <w:rPr>
          <w:rFonts w:eastAsia="Times New Roman"/>
          <w:b/>
          <w:iCs/>
          <w:kern w:val="0"/>
          <w:lang w:eastAsia="tr-TR"/>
        </w:rPr>
      </w:pPr>
      <w:r w:rsidRPr="005C7890">
        <w:rPr>
          <w:rFonts w:eastAsia="Times New Roman"/>
          <w:b/>
          <w:iCs/>
          <w:kern w:val="0"/>
          <w:lang w:eastAsia="tr-TR"/>
        </w:rPr>
        <w:t>İstisnalar</w:t>
      </w:r>
    </w:p>
    <w:p w14:paraId="14AAE874" w14:textId="77777777" w:rsidR="005C7890" w:rsidRDefault="005C7890" w:rsidP="00794A52">
      <w:pPr>
        <w:spacing w:line="276" w:lineRule="auto"/>
        <w:ind w:firstLine="567"/>
        <w:rPr>
          <w:rFonts w:eastAsia="Times New Roman"/>
          <w:kern w:val="0"/>
          <w:lang w:eastAsia="tr-TR"/>
        </w:rPr>
      </w:pPr>
      <w:r w:rsidRPr="005C7890">
        <w:rPr>
          <w:rFonts w:eastAsia="Times New Roman"/>
          <w:b/>
          <w:iCs/>
          <w:kern w:val="0"/>
          <w:lang w:eastAsia="tr-TR"/>
        </w:rPr>
        <w:t>MADDE 5-</w:t>
      </w:r>
      <w:r>
        <w:rPr>
          <w:rFonts w:eastAsia="Times New Roman"/>
          <w:i/>
          <w:iCs/>
          <w:kern w:val="0"/>
          <w:lang w:eastAsia="tr-TR"/>
        </w:rPr>
        <w:t xml:space="preserve"> </w:t>
      </w:r>
      <w:r w:rsidRPr="005C7890">
        <w:rPr>
          <w:rFonts w:eastAsia="Times New Roman"/>
          <w:kern w:val="0"/>
          <w:lang w:eastAsia="tr-TR"/>
        </w:rPr>
        <w:t xml:space="preserve">(1) Aşağıda belirtilen kazançlar, kurumlar vergisinden müstesnadır: </w:t>
      </w:r>
    </w:p>
    <w:p w14:paraId="5E13CDE7" w14:textId="7D2512BE" w:rsidR="005E482B" w:rsidRPr="001854E8" w:rsidRDefault="005E482B" w:rsidP="00794A52">
      <w:pPr>
        <w:spacing w:line="276" w:lineRule="auto"/>
        <w:ind w:firstLine="567"/>
        <w:rPr>
          <w:rFonts w:eastAsia="Times New Roman"/>
          <w:kern w:val="0"/>
          <w:lang w:eastAsia="tr-TR"/>
        </w:rPr>
      </w:pPr>
      <w:r w:rsidRPr="001854E8">
        <w:rPr>
          <w:rFonts w:eastAsia="Times New Roman"/>
          <w:kern w:val="0"/>
          <w:lang w:eastAsia="tr-TR"/>
        </w:rPr>
        <w:t>(</w:t>
      </w:r>
      <w:r w:rsidR="001B2C31">
        <w:rPr>
          <w:rFonts w:eastAsia="Times New Roman"/>
          <w:kern w:val="0"/>
          <w:lang w:eastAsia="tr-TR"/>
        </w:rPr>
        <w:t>…</w:t>
      </w:r>
      <w:r w:rsidRPr="001854E8">
        <w:rPr>
          <w:rFonts w:eastAsia="Times New Roman"/>
          <w:kern w:val="0"/>
          <w:lang w:eastAsia="tr-TR"/>
        </w:rPr>
        <w:t xml:space="preserve">) </w:t>
      </w:r>
    </w:p>
    <w:p w14:paraId="7AE6F0F5" w14:textId="77777777" w:rsidR="001B2C31" w:rsidRDefault="005C7890" w:rsidP="00794A52">
      <w:pPr>
        <w:spacing w:line="276" w:lineRule="auto"/>
        <w:ind w:firstLine="567"/>
      </w:pPr>
      <w:r>
        <w:t xml:space="preserve">d) Türkiye’de kurulu; </w:t>
      </w:r>
    </w:p>
    <w:p w14:paraId="7EACA994" w14:textId="77777777" w:rsidR="001B2C31" w:rsidRDefault="005C7890" w:rsidP="00794A52">
      <w:pPr>
        <w:spacing w:line="276" w:lineRule="auto"/>
        <w:ind w:firstLine="567"/>
      </w:pPr>
      <w:r>
        <w:t>1) Menkul kıymetler yatırım fonları veya ortaklıklarının portföy işletmeciliğinden doğan kazançları,</w:t>
      </w:r>
    </w:p>
    <w:p w14:paraId="71BC5D22" w14:textId="77777777" w:rsidR="001B2C31" w:rsidRDefault="005C7890" w:rsidP="001B2C31">
      <w:pPr>
        <w:spacing w:line="276" w:lineRule="auto"/>
        <w:ind w:left="567"/>
      </w:pPr>
      <w:r>
        <w:t>2) Portföyü Türkiye’de kurulu borsalarda işlem gören altın ve kıymetli madenl</w:t>
      </w:r>
      <w:bookmarkStart w:id="0" w:name="_GoBack"/>
      <w:bookmarkEnd w:id="0"/>
      <w:r>
        <w:t>ere dayalı yatırım</w:t>
      </w:r>
    </w:p>
    <w:p w14:paraId="30BC41E7" w14:textId="4237CCE6" w:rsidR="001B2C31" w:rsidRDefault="005C7890" w:rsidP="001B2C31">
      <w:pPr>
        <w:spacing w:line="276" w:lineRule="auto"/>
      </w:pPr>
      <w:r>
        <w:t>fonları veya ortaklıklarının portföy işletmeciliğinden doğan kazançları,</w:t>
      </w:r>
    </w:p>
    <w:p w14:paraId="434905E5" w14:textId="77777777" w:rsidR="001B2C31" w:rsidRDefault="005C7890" w:rsidP="00794A52">
      <w:pPr>
        <w:spacing w:line="276" w:lineRule="auto"/>
        <w:ind w:firstLine="567"/>
      </w:pPr>
      <w:r>
        <w:t xml:space="preserve">3) Girişim sermayesi yatırım fonları veya ortaklıklarının kazançları, </w:t>
      </w:r>
    </w:p>
    <w:p w14:paraId="0C06D037" w14:textId="77777777" w:rsidR="001B2C31" w:rsidRDefault="005C7890" w:rsidP="00794A52">
      <w:pPr>
        <w:spacing w:line="276" w:lineRule="auto"/>
        <w:ind w:firstLine="567"/>
      </w:pPr>
      <w:r>
        <w:t>4) Gayrimenkul yatırım fonları veya ortaklıklarının kazançları, (Esas faaliyet konusu itibarıyla gayrimenkul, gayrimenkul projeleri ve gayrimenkule dayalı haklardan oluşan portföyü işletmek amacıyla kurulanlar dışında kalanların kazançları hariç)</w:t>
      </w:r>
    </w:p>
    <w:p w14:paraId="5D353FF9" w14:textId="77777777" w:rsidR="001B2C31" w:rsidRDefault="005C7890" w:rsidP="00794A52">
      <w:pPr>
        <w:spacing w:line="276" w:lineRule="auto"/>
        <w:ind w:firstLine="567"/>
      </w:pPr>
      <w:r>
        <w:t xml:space="preserve">5) Emeklilik yatırım fonlarının kazançları, </w:t>
      </w:r>
    </w:p>
    <w:p w14:paraId="723D1BF9" w14:textId="77777777" w:rsidR="001B2C31" w:rsidRDefault="005C7890" w:rsidP="00794A52">
      <w:pPr>
        <w:spacing w:line="276" w:lineRule="auto"/>
        <w:ind w:firstLine="567"/>
      </w:pPr>
      <w:r>
        <w:t xml:space="preserve">6) Konut finansmanı fonları ile varlık finansmanı fonlarının kazançları. </w:t>
      </w:r>
    </w:p>
    <w:p w14:paraId="0519B5F5" w14:textId="2D670104" w:rsidR="005C7890" w:rsidRDefault="005C7890" w:rsidP="00794A52">
      <w:pPr>
        <w:spacing w:line="276" w:lineRule="auto"/>
        <w:ind w:firstLine="567"/>
      </w:pPr>
      <w:r w:rsidRPr="001B2C31">
        <w:rPr>
          <w:b/>
        </w:rPr>
        <w:t>(Ek paragraf:28/7/2024-7524/32 md.)</w:t>
      </w:r>
      <w:r>
        <w:t xml:space="preserve"> Bu istisnadan faydalanılabilmesi için fon ve ortaklıkların (emeklilik yatırım fonları hariç) sahip oldukları taşınmazlardan elde ettikleri kazançların en az %50’sinin, elde edildiği hesap dönemine ilişkin kurumlar vergisi beyannamesinin verilmesi gereken ayı izleyen ikinci ayın sonuna kadar kâr payı olarak dağıtılması şarttır. Bu süre içerisinde belirtilen orana kadar kârın ortaklara dağıtılmaması durumunda, istisnadan faydalanılması nedeniyle zamanında tahakkuk ettirilmeyen vergiler ziyaa uğramış sayılır.</w:t>
      </w:r>
    </w:p>
    <w:p w14:paraId="65D892C0" w14:textId="4082B128" w:rsidR="001B2C31" w:rsidRDefault="001B2C31" w:rsidP="001B2C31">
      <w:pPr>
        <w:spacing w:line="276" w:lineRule="auto"/>
      </w:pPr>
    </w:p>
    <w:p w14:paraId="45CA64CF" w14:textId="77777777" w:rsidR="001B2C31" w:rsidRPr="001B2C31" w:rsidRDefault="001B2C31" w:rsidP="001B2C31">
      <w:pPr>
        <w:spacing w:line="276" w:lineRule="auto"/>
        <w:ind w:firstLine="567"/>
        <w:rPr>
          <w:rFonts w:eastAsia="Times New Roman"/>
          <w:b/>
          <w:iCs/>
          <w:kern w:val="0"/>
          <w:lang w:eastAsia="tr-TR"/>
        </w:rPr>
      </w:pPr>
      <w:r w:rsidRPr="001B2C31">
        <w:rPr>
          <w:rFonts w:eastAsia="Times New Roman"/>
          <w:b/>
          <w:iCs/>
          <w:kern w:val="0"/>
          <w:lang w:eastAsia="tr-TR"/>
        </w:rPr>
        <w:t>Vergi kesintisi</w:t>
      </w:r>
    </w:p>
    <w:p w14:paraId="46884B1D" w14:textId="7ABCF6F2" w:rsidR="001B2C31" w:rsidRDefault="001B2C31" w:rsidP="001B2C31">
      <w:pPr>
        <w:spacing w:line="276" w:lineRule="auto"/>
        <w:ind w:firstLine="567"/>
        <w:rPr>
          <w:rFonts w:eastAsia="Times New Roman"/>
          <w:b/>
          <w:iCs/>
          <w:kern w:val="0"/>
          <w:lang w:eastAsia="tr-TR"/>
        </w:rPr>
      </w:pPr>
      <w:r w:rsidRPr="001B2C31">
        <w:rPr>
          <w:rFonts w:eastAsia="Times New Roman"/>
          <w:b/>
          <w:iCs/>
          <w:kern w:val="0"/>
          <w:lang w:eastAsia="tr-TR"/>
        </w:rPr>
        <w:t>MADDE 15-</w:t>
      </w:r>
      <w:r>
        <w:rPr>
          <w:rFonts w:eastAsia="Times New Roman"/>
          <w:b/>
          <w:iCs/>
          <w:kern w:val="0"/>
          <w:lang w:eastAsia="tr-TR"/>
        </w:rPr>
        <w:t xml:space="preserve"> </w:t>
      </w:r>
      <w:r w:rsidRPr="001B2C31">
        <w:rPr>
          <w:rFonts w:eastAsia="Times New Roman"/>
          <w:iCs/>
          <w:kern w:val="0"/>
          <w:lang w:eastAsia="tr-TR"/>
        </w:rPr>
        <w:t>(…)</w:t>
      </w:r>
    </w:p>
    <w:p w14:paraId="55C9282D" w14:textId="3E5AA32A" w:rsidR="001B2C31" w:rsidRDefault="001B2C31" w:rsidP="001B2C31">
      <w:pPr>
        <w:spacing w:line="276" w:lineRule="auto"/>
        <w:ind w:firstLine="567"/>
      </w:pPr>
      <w:r>
        <w:t>(3) Emeklilik yatırım fonlarının kazançları hariç olmak üzere, Kanunun 5 inci maddesinin birinci fıkrasının (d) bendinde yazılı kazançlardan, dağıtılsın veya dağıtılmasın, kurum bünyesinde % 15 oranında vergi kesintisi yapılır.</w:t>
      </w:r>
    </w:p>
    <w:p w14:paraId="363268D6" w14:textId="46ECA6C5" w:rsidR="00492B6F" w:rsidRDefault="00492B6F" w:rsidP="001B2C31">
      <w:pPr>
        <w:spacing w:line="276" w:lineRule="auto"/>
        <w:ind w:firstLine="567"/>
        <w:rPr>
          <w:rFonts w:eastAsia="Times New Roman"/>
          <w:b/>
          <w:iCs/>
          <w:kern w:val="0"/>
          <w:lang w:eastAsia="tr-TR"/>
        </w:rPr>
      </w:pPr>
    </w:p>
    <w:p w14:paraId="7FC6A2E9" w14:textId="6A54853E" w:rsidR="00492B6F" w:rsidRPr="00492B6F" w:rsidRDefault="00492B6F" w:rsidP="001B2C31">
      <w:pPr>
        <w:spacing w:line="276" w:lineRule="auto"/>
        <w:ind w:firstLine="567"/>
        <w:rPr>
          <w:rFonts w:eastAsia="Times New Roman"/>
          <w:b/>
          <w:iCs/>
          <w:kern w:val="0"/>
          <w:lang w:eastAsia="tr-TR"/>
        </w:rPr>
      </w:pPr>
      <w:r w:rsidRPr="00492B6F">
        <w:rPr>
          <w:rFonts w:eastAsia="Times New Roman"/>
          <w:b/>
          <w:iCs/>
          <w:kern w:val="0"/>
          <w:lang w:eastAsia="tr-TR"/>
        </w:rPr>
        <w:t>Kurumlar vergisi ve geçici vergi oranı</w:t>
      </w:r>
    </w:p>
    <w:p w14:paraId="478886BF" w14:textId="617CF246" w:rsidR="00492B6F" w:rsidRDefault="00492B6F" w:rsidP="001B2C31">
      <w:pPr>
        <w:spacing w:line="276" w:lineRule="auto"/>
        <w:ind w:firstLine="567"/>
      </w:pPr>
      <w:r w:rsidRPr="00492B6F">
        <w:rPr>
          <w:rFonts w:eastAsia="Times New Roman"/>
          <w:b/>
          <w:iCs/>
          <w:kern w:val="0"/>
          <w:lang w:eastAsia="tr-TR"/>
        </w:rPr>
        <w:t>MADDE 32-</w:t>
      </w:r>
      <w:r>
        <w:t xml:space="preserve"> (1)</w:t>
      </w:r>
      <w:r>
        <w:t xml:space="preserve"> </w:t>
      </w:r>
      <w:r>
        <w:t>Kurumlar vergisi, kurum kazancı üzerinden %25 oranında alınır. Şu kadar ki bankalar, 6361 sayılı Kanun kapsamındaki şirketler, elektronik ödeme ve para kuruluşları, yetkili döviz müesseseleri, varlık yönetim şirketleri, sermaye piyasası kurumları ile sigorta ve reasürans şirketleri , emeklilik şirketleri ve 8/6/1994 tarihli ve 3996 sayılı Bazı Yatırım ve Hizmetlerin Yap-İşlet-Devret Modeli Çerçevesinde Yaptırılması Hakkında Kanuna göre yap-işlet-devret modeli çerçevesinde gerçekleştirilen projeler ile 21/2/2013 tarihli ve 6428 sayılı Sağlık Bakanlığınca Kamu Özel İş Birliği Modeli ile Tesis Yaptırılması, Yenilenmesi ve Hizmet Alınması ile Bazı Kanun ve Kanun Hükmünde Kararnamelerde Değişiklik Yapılması Hakkında Kanun hükümlerine göre kamu özel iş birliği modeli çerçevesinde yürütülen projelerde sözleşmenin tarafı olarak faaliyette bulunan şirketlerin kurum kazançları üzerinden kurumlar vergisi %30 oranında alınır</w:t>
      </w:r>
      <w:r>
        <w:t>.</w:t>
      </w:r>
    </w:p>
    <w:p w14:paraId="116742EC" w14:textId="289D4E69" w:rsidR="00492B6F" w:rsidRDefault="00492B6F" w:rsidP="001B2C31">
      <w:pPr>
        <w:spacing w:line="276" w:lineRule="auto"/>
        <w:ind w:firstLine="567"/>
      </w:pPr>
      <w:r w:rsidRPr="001B2C31">
        <w:rPr>
          <w:rFonts w:eastAsia="Times New Roman"/>
          <w:iCs/>
          <w:kern w:val="0"/>
          <w:lang w:eastAsia="tr-TR"/>
        </w:rPr>
        <w:t>(…)</w:t>
      </w:r>
    </w:p>
    <w:p w14:paraId="6DBB83F2" w14:textId="6891CDD3" w:rsidR="00492B6F" w:rsidRPr="001B2C31" w:rsidRDefault="00492B6F" w:rsidP="001B2C31">
      <w:pPr>
        <w:spacing w:line="276" w:lineRule="auto"/>
        <w:ind w:firstLine="567"/>
        <w:rPr>
          <w:rFonts w:eastAsia="Times New Roman"/>
          <w:b/>
          <w:iCs/>
          <w:kern w:val="0"/>
          <w:lang w:eastAsia="tr-TR"/>
        </w:rPr>
      </w:pPr>
      <w:r>
        <w:t xml:space="preserve">(6) Payları Borsa İstanbul Pay Piyasasında ilk defa işlem görmek üzere en az %20 oranında halka arz edilen kurumların (bankalar, finansal kiralama şirketleri, faktoring şirketleri, finansman şirketleri, ödeme ve elektronik para kuruluşları, yetkili döviz müesseseleri, varlık yönetim şirketleri, sermaye piyasası kurumları ile sigorta ve reasürans şirketleri ve emeklilik şirketleri hariç) paylarının ilk defa halka arz edildiği hesap döneminden başlamak üzere beş hesap dönemine ait kurum kazançlarına kurumlar vergisi oranı 2 puan indirimli olarak uygulanır. İndirimden yararlanılan hesap döneminden itibaren beş hesap dönemi içinde pay oranına ilişkin bu fıkrada belirlenen şartın kaybedilmesi hâlinde, indirimli vergi </w:t>
      </w:r>
      <w:r>
        <w:lastRenderedPageBreak/>
        <w:t>oranı uygulaması nedeniyle zamanında tahakkuk ettirilmeyen vergiler vergi ziyaı cezası uygulanmaksızın gecikme faizi ile birlikte tahsil edilir</w:t>
      </w:r>
      <w:r>
        <w:t>.</w:t>
      </w:r>
    </w:p>
    <w:p w14:paraId="76644F3B" w14:textId="4765AF60" w:rsidR="00F20A0B" w:rsidRDefault="00622F22" w:rsidP="005E482B">
      <w:pPr>
        <w:spacing w:after="160" w:line="259" w:lineRule="auto"/>
        <w:jc w:val="left"/>
      </w:pPr>
    </w:p>
    <w:p w14:paraId="51D538B7" w14:textId="77777777" w:rsidR="00492B6F" w:rsidRPr="00492B6F" w:rsidRDefault="00492B6F" w:rsidP="00492B6F">
      <w:pPr>
        <w:spacing w:line="276" w:lineRule="auto"/>
        <w:ind w:firstLine="567"/>
        <w:rPr>
          <w:rFonts w:eastAsia="Times New Roman"/>
          <w:b/>
          <w:iCs/>
          <w:kern w:val="0"/>
          <w:lang w:eastAsia="tr-TR"/>
        </w:rPr>
      </w:pPr>
      <w:r w:rsidRPr="00492B6F">
        <w:rPr>
          <w:rFonts w:eastAsia="Times New Roman"/>
          <w:b/>
          <w:iCs/>
          <w:kern w:val="0"/>
          <w:lang w:eastAsia="tr-TR"/>
        </w:rPr>
        <w:t xml:space="preserve">Muafiyet ve istisnalar </w:t>
      </w:r>
    </w:p>
    <w:p w14:paraId="3C325A19" w14:textId="77777777" w:rsidR="00492B6F" w:rsidRDefault="00492B6F" w:rsidP="00492B6F">
      <w:pPr>
        <w:spacing w:line="276" w:lineRule="auto"/>
        <w:ind w:firstLine="567"/>
      </w:pPr>
      <w:r w:rsidRPr="00492B6F">
        <w:rPr>
          <w:rFonts w:eastAsia="Times New Roman"/>
          <w:b/>
          <w:iCs/>
          <w:kern w:val="0"/>
          <w:lang w:eastAsia="tr-TR"/>
        </w:rPr>
        <w:t>EK MADDE 3-</w:t>
      </w:r>
      <w:r>
        <w:t xml:space="preserve"> </w:t>
      </w:r>
      <w:r w:rsidRPr="00492B6F">
        <w:rPr>
          <w:b/>
        </w:rPr>
        <w:t>(Ek:28/7/2024-7524/39 md.)</w:t>
      </w:r>
      <w:r>
        <w:t xml:space="preserve"> (1) Aşağıda sayılan işletmeler ile bunların iş yerleri yerel ve küresel asgari tamamlayıcı kurumlar vergisinden muaftır: </w:t>
      </w:r>
    </w:p>
    <w:p w14:paraId="799D359D" w14:textId="77777777" w:rsidR="00492B6F" w:rsidRDefault="00492B6F" w:rsidP="00492B6F">
      <w:pPr>
        <w:spacing w:line="276" w:lineRule="auto"/>
        <w:ind w:firstLine="567"/>
      </w:pPr>
      <w:r>
        <w:t xml:space="preserve">a) Kamu kurum ve kuruluşları ile uluslararası kuruluşlar, </w:t>
      </w:r>
    </w:p>
    <w:p w14:paraId="7B5C193F" w14:textId="77777777" w:rsidR="00492B6F" w:rsidRDefault="00492B6F" w:rsidP="00492B6F">
      <w:pPr>
        <w:spacing w:line="276" w:lineRule="auto"/>
        <w:ind w:firstLine="567"/>
      </w:pPr>
      <w:r>
        <w:t xml:space="preserve">b) Kâr amacı gütmeyen kuruluşlar, </w:t>
      </w:r>
    </w:p>
    <w:p w14:paraId="497F7E22" w14:textId="77777777" w:rsidR="00492B6F" w:rsidRDefault="00492B6F" w:rsidP="00492B6F">
      <w:pPr>
        <w:spacing w:line="276" w:lineRule="auto"/>
        <w:ind w:firstLine="567"/>
      </w:pPr>
      <w:r>
        <w:t xml:space="preserve">c) Emeklilik yatırım fonları, </w:t>
      </w:r>
    </w:p>
    <w:p w14:paraId="6FED3542" w14:textId="77777777" w:rsidR="00492B6F" w:rsidRDefault="00492B6F" w:rsidP="00492B6F">
      <w:pPr>
        <w:spacing w:line="276" w:lineRule="auto"/>
        <w:ind w:firstLine="567"/>
      </w:pPr>
      <w:r>
        <w:t xml:space="preserve">ç) Nihai ana işletme niteliğinde olup yatırım fonu kapsamında değerlendirilen fonlar, </w:t>
      </w:r>
    </w:p>
    <w:p w14:paraId="2305C860" w14:textId="7A210F12" w:rsidR="00492B6F" w:rsidRDefault="00492B6F" w:rsidP="00492B6F">
      <w:pPr>
        <w:spacing w:line="276" w:lineRule="auto"/>
        <w:ind w:firstLine="567"/>
      </w:pPr>
      <w:r>
        <w:t>d) Nihai ana işletme niteliğinde olup gayrimenkul yatırım fonları başta olmak üzere gayrimenkul yatırım araçları kapsamında değerlendirilenler.</w:t>
      </w:r>
    </w:p>
    <w:p w14:paraId="6342F7A2" w14:textId="77777777" w:rsidR="00E37832" w:rsidRDefault="00492B6F" w:rsidP="00492B6F">
      <w:pPr>
        <w:spacing w:line="276" w:lineRule="auto"/>
        <w:ind w:firstLine="567"/>
      </w:pPr>
      <w:r>
        <w:t xml:space="preserve">(2) Birinci fıkra kapsamında olmamakla beraber aşağıda sayılan işletmeler ve bunların iş yerleri de yerel ve küresel asgari tamamlayıcı kurumlar vergisinden ayrıca muaftır: </w:t>
      </w:r>
    </w:p>
    <w:p w14:paraId="2397E3DF" w14:textId="77777777" w:rsidR="00E37832" w:rsidRDefault="00492B6F" w:rsidP="00492B6F">
      <w:pPr>
        <w:spacing w:line="276" w:lineRule="auto"/>
        <w:ind w:firstLine="567"/>
      </w:pPr>
      <w:r>
        <w:t xml:space="preserve">a) Münhasıran birinci fıkra kapsamındaki muaf işletmeler yararına varlık bulundurmak veya fona yatırım yapmak için faaliyet gösteren ya da muaf işletmelerin faaliyetlerine yardımcı olmak amacıyla kurulan ve işletme değerinin en az %95’ine söz konusu muaf işletmeler (emeklilik hizmetleri veren kuruluşlar hariç) tarafından sahip olunanlar, </w:t>
      </w:r>
    </w:p>
    <w:p w14:paraId="614C2D88" w14:textId="44E8A7C2" w:rsidR="00492B6F" w:rsidRDefault="00492B6F" w:rsidP="00492B6F">
      <w:pPr>
        <w:spacing w:line="276" w:lineRule="auto"/>
        <w:ind w:firstLine="567"/>
      </w:pPr>
      <w:r>
        <w:t>b) İşletme değerinin en az %85’ine birinci fıkra kapsamındaki muaf işletmeler (emeklilik hizmetleri veren kuruluşlar hariç) tarafından sahip olunan ve kazançlarının en az %5l’i ek 5 inci maddenin birinci fıkrasının (a) bendinin (2) numaralı alt bendi veya (b) bendinin (2) ve (3) numaralı alt bentlerinde belirtilen kazançlardan oluşanlar.</w:t>
      </w:r>
    </w:p>
    <w:p w14:paraId="2C7890A6" w14:textId="77777777" w:rsidR="00E37832" w:rsidRDefault="00E37832" w:rsidP="00492B6F">
      <w:pPr>
        <w:spacing w:line="276" w:lineRule="auto"/>
        <w:ind w:firstLine="567"/>
      </w:pPr>
    </w:p>
    <w:p w14:paraId="035BD8AA" w14:textId="77777777" w:rsidR="00E37832" w:rsidRPr="00E37832" w:rsidRDefault="00E37832" w:rsidP="00492B6F">
      <w:pPr>
        <w:spacing w:line="276" w:lineRule="auto"/>
        <w:ind w:firstLine="567"/>
        <w:rPr>
          <w:rFonts w:eastAsia="Times New Roman"/>
          <w:b/>
          <w:iCs/>
          <w:kern w:val="0"/>
          <w:lang w:eastAsia="tr-TR"/>
        </w:rPr>
      </w:pPr>
      <w:r w:rsidRPr="00E37832">
        <w:rPr>
          <w:rFonts w:eastAsia="Times New Roman"/>
          <w:b/>
          <w:iCs/>
          <w:kern w:val="0"/>
          <w:lang w:eastAsia="tr-TR"/>
        </w:rPr>
        <w:t xml:space="preserve">Özel vergileme halleri </w:t>
      </w:r>
    </w:p>
    <w:p w14:paraId="478852EC" w14:textId="6C2E5833" w:rsidR="00E37832" w:rsidRDefault="00E37832" w:rsidP="00492B6F">
      <w:pPr>
        <w:spacing w:line="276" w:lineRule="auto"/>
        <w:ind w:firstLine="567"/>
        <w:rPr>
          <w:rFonts w:eastAsia="Times New Roman"/>
          <w:b/>
          <w:iCs/>
          <w:kern w:val="0"/>
          <w:lang w:eastAsia="tr-TR"/>
        </w:rPr>
      </w:pPr>
      <w:r w:rsidRPr="00E37832">
        <w:rPr>
          <w:rFonts w:eastAsia="Times New Roman"/>
          <w:b/>
          <w:iCs/>
          <w:kern w:val="0"/>
          <w:lang w:eastAsia="tr-TR"/>
        </w:rPr>
        <w:t>EK MADDE 12- (Ek:28/7/2024-7524/48 md.)</w:t>
      </w:r>
      <w:r>
        <w:rPr>
          <w:rFonts w:eastAsia="Times New Roman"/>
          <w:b/>
          <w:iCs/>
          <w:kern w:val="0"/>
          <w:lang w:eastAsia="tr-TR"/>
        </w:rPr>
        <w:t xml:space="preserve"> </w:t>
      </w:r>
    </w:p>
    <w:p w14:paraId="4DA37FF2" w14:textId="77777777" w:rsidR="00E37832" w:rsidRDefault="00E37832" w:rsidP="00492B6F">
      <w:pPr>
        <w:spacing w:line="276" w:lineRule="auto"/>
        <w:ind w:firstLine="567"/>
      </w:pPr>
      <w:r>
        <w:t xml:space="preserve">3) Kâr payı gelirini elde edenin gerçek kişi olması ve söz konusu kâr payının kooperatiften elde edilen risturn geliri niteliğinde olması, </w:t>
      </w:r>
    </w:p>
    <w:p w14:paraId="0EDACFE2" w14:textId="0DCDE9ED" w:rsidR="00E37832" w:rsidRDefault="00E37832" w:rsidP="00492B6F">
      <w:pPr>
        <w:spacing w:line="276" w:lineRule="auto"/>
        <w:ind w:firstLine="567"/>
      </w:pPr>
      <w:r>
        <w:t>(3) Vergilemede indirilebilir kâr payı uygulamasına tabi olan nihai ana işletme, aşağıdaki durumlarda ilgili hesap dönemi için hesap döneminin kapandığı ayı takip eden on ikinci ayın sonuna kadar işletme bazlı kazancını, zarar durumuna düşmemek kaydıyla, söz konusu uygulama kapsamında indirilebilir kâr payı miktarı kadar azaltır</w:t>
      </w:r>
      <w:r>
        <w:t>.</w:t>
      </w:r>
    </w:p>
    <w:p w14:paraId="2F93F00E" w14:textId="550543A6" w:rsidR="00E37832" w:rsidRDefault="00E37832" w:rsidP="00E37832">
      <w:pPr>
        <w:spacing w:line="276" w:lineRule="auto"/>
        <w:ind w:firstLine="567"/>
      </w:pPr>
      <w:r w:rsidRPr="001B2C31">
        <w:rPr>
          <w:rFonts w:eastAsia="Times New Roman"/>
          <w:iCs/>
          <w:kern w:val="0"/>
          <w:lang w:eastAsia="tr-TR"/>
        </w:rPr>
        <w:t>(…)</w:t>
      </w:r>
    </w:p>
    <w:p w14:paraId="48FA9623" w14:textId="43FC2745" w:rsidR="00E37832" w:rsidRDefault="00E37832" w:rsidP="00492B6F">
      <w:pPr>
        <w:spacing w:line="276" w:lineRule="auto"/>
        <w:ind w:firstLine="567"/>
      </w:pPr>
      <w:r>
        <w:t>c) Nihai ana işletmenin bulunduğu ülkede yerleşik olup bu işletmeden kâr payı geliri elde edenlerin ek 3 üncü maddenin birinci fıkrasının (a) ve (b) bentlerinde sayılanlar ile emeklilik hizmeti işletmeleri dışındaki emeklilik yatırım fonlarından olması.</w:t>
      </w:r>
    </w:p>
    <w:p w14:paraId="3B7B6379" w14:textId="77777777" w:rsidR="001448E0" w:rsidRDefault="001448E0" w:rsidP="00492B6F">
      <w:pPr>
        <w:spacing w:line="276" w:lineRule="auto"/>
        <w:ind w:firstLine="567"/>
      </w:pPr>
    </w:p>
    <w:p w14:paraId="31ED2AC3" w14:textId="52F2B44F" w:rsidR="00E37832" w:rsidRPr="00E37832" w:rsidRDefault="00E37832" w:rsidP="00492B6F">
      <w:pPr>
        <w:spacing w:line="276" w:lineRule="auto"/>
        <w:ind w:firstLine="567"/>
        <w:rPr>
          <w:rFonts w:eastAsia="Times New Roman"/>
          <w:b/>
          <w:iCs/>
          <w:kern w:val="0"/>
          <w:lang w:eastAsia="tr-TR"/>
        </w:rPr>
      </w:pPr>
      <w:r w:rsidRPr="001448E0">
        <w:rPr>
          <w:rFonts w:eastAsia="Times New Roman"/>
          <w:b/>
          <w:iCs/>
          <w:kern w:val="0"/>
          <w:lang w:eastAsia="tr-TR"/>
        </w:rPr>
        <w:t>GEÇİCİ MADDE 13-</w:t>
      </w:r>
      <w:r>
        <w:t xml:space="preserve"> (1) Bu Kanunun 32 nci maddesinin birinci fıkrasında yer alan %20 oranı, kurumların 2021 yılı vergilendirme dönemine ait kurum kazançları için %25, 2022 yılı vergilendirme dönemine ait kurum kazançları için %23 olarak uygulanır. Bu oranlar özel hesap dönemi tayin edilen kurumlar için ilgili yıl içinde başlayan hesap dönemlerine ait kazançlarına uygulanır. Şu kadar ki bankalar, 6361 sayılı Kanun kapsamındaki şirketler, elektronik ödeme ve para kuruluşları, yetkili döviz müesseseleri, varlık yönetim şirketleri, sermaye piyasası kurumları ile sigorta ve reasürans şirketleri ve emeklilik şirketlerinin 2022 yılı vergilendirme dönemine ait kurum kazançları için kurumlar vergisi %25 oranında alınır.</w:t>
      </w:r>
    </w:p>
    <w:sectPr w:rsidR="00E37832" w:rsidRPr="00E3783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3BC20" w14:textId="77777777" w:rsidR="00622F22" w:rsidRDefault="00622F22" w:rsidP="005E482B">
      <w:r>
        <w:separator/>
      </w:r>
    </w:p>
  </w:endnote>
  <w:endnote w:type="continuationSeparator" w:id="0">
    <w:p w14:paraId="610F9C91" w14:textId="77777777" w:rsidR="00622F22" w:rsidRDefault="00622F22" w:rsidP="005E4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729A0" w14:textId="7E3BD7AA" w:rsidR="005E482B" w:rsidRPr="00BB641E" w:rsidRDefault="00BB641E" w:rsidP="00BB641E">
    <w:pPr>
      <w:pStyle w:val="Footer"/>
      <w:jc w:val="left"/>
    </w:pPr>
    <w:r>
      <w:rPr>
        <w:b/>
        <w:kern w:val="0"/>
        <w:lang w:eastAsia="tr-TR"/>
      </w:rPr>
      <w:fldChar w:fldCharType="begin" w:fldLock="1"/>
    </w:r>
    <w:r>
      <w:rPr>
        <w:b/>
        <w:kern w:val="0"/>
        <w:lang w:eastAsia="tr-TR"/>
      </w:rPr>
      <w:instrText xml:space="preserve"> DOCPROPERTY bjFooterEvenPageDocProperty \* MERGEFORMAT </w:instrText>
    </w:r>
    <w:r>
      <w:rPr>
        <w:b/>
        <w:kern w:val="0"/>
        <w:lang w:eastAsia="tr-TR"/>
      </w:rPr>
      <w:fldChar w:fldCharType="separate"/>
    </w:r>
    <w:r w:rsidRPr="00B34CD7">
      <w:rPr>
        <w:rFonts w:ascii="Malgun Gothic" w:eastAsia="Malgun Gothic" w:hAnsi="Malgun Gothic"/>
        <w:b/>
        <w:color w:val="999999"/>
        <w:kern w:val="0"/>
        <w:lang w:eastAsia="tr-TR"/>
      </w:rPr>
      <w:t>Sınıflandırma|</w:t>
    </w:r>
    <w:r w:rsidRPr="00B34CD7">
      <w:rPr>
        <w:rFonts w:ascii="Malgun Gothic" w:eastAsia="Malgun Gothic" w:hAnsi="Malgun Gothic"/>
        <w:b/>
        <w:color w:val="339966"/>
        <w:kern w:val="0"/>
        <w:lang w:eastAsia="tr-TR"/>
      </w:rPr>
      <w:t>Genel</w:t>
    </w:r>
    <w:r>
      <w:rPr>
        <w:b/>
        <w:kern w:val="0"/>
        <w:lang w:eastAsia="tr-T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DBF2D" w14:textId="19AB133C" w:rsidR="005E482B" w:rsidRPr="00BB641E" w:rsidRDefault="00BB641E" w:rsidP="00BB641E">
    <w:pPr>
      <w:pStyle w:val="Footer"/>
      <w:jc w:val="left"/>
    </w:pPr>
    <w:r>
      <w:rPr>
        <w:b/>
        <w:kern w:val="0"/>
        <w:lang w:eastAsia="tr-TR"/>
      </w:rPr>
      <w:fldChar w:fldCharType="begin" w:fldLock="1"/>
    </w:r>
    <w:r>
      <w:rPr>
        <w:b/>
        <w:kern w:val="0"/>
        <w:lang w:eastAsia="tr-TR"/>
      </w:rPr>
      <w:instrText xml:space="preserve"> DOCPROPERTY bjFooterBothDocProperty \* MERGEFORMAT </w:instrText>
    </w:r>
    <w:r>
      <w:rPr>
        <w:b/>
        <w:kern w:val="0"/>
        <w:lang w:eastAsia="tr-TR"/>
      </w:rPr>
      <w:fldChar w:fldCharType="separate"/>
    </w:r>
    <w:r w:rsidRPr="00B34CD7">
      <w:rPr>
        <w:rFonts w:ascii="Malgun Gothic" w:eastAsia="Malgun Gothic" w:hAnsi="Malgun Gothic"/>
        <w:b/>
        <w:color w:val="999999"/>
        <w:kern w:val="0"/>
        <w:lang w:eastAsia="tr-TR"/>
      </w:rPr>
      <w:t>Sınıflandırma|</w:t>
    </w:r>
    <w:r w:rsidRPr="00B34CD7">
      <w:rPr>
        <w:rFonts w:ascii="Malgun Gothic" w:eastAsia="Malgun Gothic" w:hAnsi="Malgun Gothic"/>
        <w:b/>
        <w:color w:val="339966"/>
        <w:kern w:val="0"/>
        <w:lang w:eastAsia="tr-TR"/>
      </w:rPr>
      <w:t>Genel</w:t>
    </w:r>
    <w:r>
      <w:rPr>
        <w:b/>
        <w:kern w:val="0"/>
        <w:lang w:eastAsia="tr-T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7B7A3" w14:textId="4B0DA450" w:rsidR="005E482B" w:rsidRPr="00BB641E" w:rsidRDefault="00BB641E" w:rsidP="00BB641E">
    <w:pPr>
      <w:pStyle w:val="Footer"/>
      <w:jc w:val="left"/>
    </w:pPr>
    <w:r>
      <w:rPr>
        <w:b/>
        <w:kern w:val="0"/>
        <w:lang w:eastAsia="tr-TR"/>
      </w:rPr>
      <w:fldChar w:fldCharType="begin" w:fldLock="1"/>
    </w:r>
    <w:r>
      <w:rPr>
        <w:b/>
        <w:kern w:val="0"/>
        <w:lang w:eastAsia="tr-TR"/>
      </w:rPr>
      <w:instrText xml:space="preserve"> DOCPROPERTY bjFooterFirstPageDocProperty \* MERGEFORMAT </w:instrText>
    </w:r>
    <w:r>
      <w:rPr>
        <w:b/>
        <w:kern w:val="0"/>
        <w:lang w:eastAsia="tr-TR"/>
      </w:rPr>
      <w:fldChar w:fldCharType="separate"/>
    </w:r>
    <w:r w:rsidRPr="00B34CD7">
      <w:rPr>
        <w:rFonts w:ascii="Malgun Gothic" w:eastAsia="Malgun Gothic" w:hAnsi="Malgun Gothic"/>
        <w:b/>
        <w:color w:val="999999"/>
        <w:kern w:val="0"/>
        <w:lang w:eastAsia="tr-TR"/>
      </w:rPr>
      <w:t>Sınıflandırma|</w:t>
    </w:r>
    <w:r w:rsidRPr="00B34CD7">
      <w:rPr>
        <w:rFonts w:ascii="Malgun Gothic" w:eastAsia="Malgun Gothic" w:hAnsi="Malgun Gothic"/>
        <w:b/>
        <w:color w:val="339966"/>
        <w:kern w:val="0"/>
        <w:lang w:eastAsia="tr-TR"/>
      </w:rPr>
      <w:t>Genel</w:t>
    </w:r>
    <w:r>
      <w:rPr>
        <w:b/>
        <w:kern w:val="0"/>
        <w:lang w:eastAsia="tr-T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9A6E8" w14:textId="77777777" w:rsidR="00622F22" w:rsidRDefault="00622F22" w:rsidP="005E482B">
      <w:r>
        <w:separator/>
      </w:r>
    </w:p>
  </w:footnote>
  <w:footnote w:type="continuationSeparator" w:id="0">
    <w:p w14:paraId="3C3042A9" w14:textId="77777777" w:rsidR="00622F22" w:rsidRDefault="00622F22" w:rsidP="005E4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AE8F8" w14:textId="77777777" w:rsidR="005E482B" w:rsidRDefault="005E48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B90AF" w14:textId="77777777" w:rsidR="005E482B" w:rsidRDefault="005E48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C42DA" w14:textId="77777777" w:rsidR="005E482B" w:rsidRDefault="005E48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82B"/>
    <w:rsid w:val="001448E0"/>
    <w:rsid w:val="001A679B"/>
    <w:rsid w:val="001B2C31"/>
    <w:rsid w:val="002D7FA8"/>
    <w:rsid w:val="00492B6F"/>
    <w:rsid w:val="005C7890"/>
    <w:rsid w:val="005E482B"/>
    <w:rsid w:val="00606DF1"/>
    <w:rsid w:val="00622F22"/>
    <w:rsid w:val="007804F6"/>
    <w:rsid w:val="00794A52"/>
    <w:rsid w:val="00BB641E"/>
    <w:rsid w:val="00E378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AD925B"/>
  <w15:chartTrackingRefBased/>
  <w15:docId w15:val="{765E06DB-C238-43F8-8906-749D841FE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482B"/>
    <w:pPr>
      <w:spacing w:after="0" w:line="240" w:lineRule="auto"/>
      <w:jc w:val="both"/>
    </w:pPr>
    <w:rPr>
      <w:rFonts w:ascii="Arial" w:hAnsi="Arial" w:cs="Arial"/>
      <w:color w:val="000000"/>
      <w:kern w:val="16"/>
      <w:sz w:val="20"/>
      <w:szCs w:val="20"/>
    </w:rPr>
  </w:style>
  <w:style w:type="paragraph" w:styleId="Heading2">
    <w:name w:val="heading 2"/>
    <w:basedOn w:val="Normal"/>
    <w:next w:val="Normal"/>
    <w:link w:val="Heading2Char"/>
    <w:autoRedefine/>
    <w:uiPriority w:val="9"/>
    <w:unhideWhenUsed/>
    <w:qFormat/>
    <w:rsid w:val="005E482B"/>
    <w:pPr>
      <w:keepNext/>
      <w:widowControl w:val="0"/>
      <w:spacing w:line="260" w:lineRule="atLeast"/>
      <w:ind w:right="17"/>
      <w:jc w:val="center"/>
      <w:outlineLvl w:val="1"/>
    </w:pPr>
    <w:rPr>
      <w:rFonts w:eastAsia="Cambria"/>
      <w:b/>
      <w:bCs/>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82B"/>
    <w:pPr>
      <w:tabs>
        <w:tab w:val="center" w:pos="4536"/>
        <w:tab w:val="right" w:pos="9072"/>
      </w:tabs>
    </w:pPr>
  </w:style>
  <w:style w:type="character" w:customStyle="1" w:styleId="HeaderChar">
    <w:name w:val="Header Char"/>
    <w:basedOn w:val="DefaultParagraphFont"/>
    <w:link w:val="Header"/>
    <w:uiPriority w:val="99"/>
    <w:rsid w:val="005E482B"/>
  </w:style>
  <w:style w:type="paragraph" w:styleId="Footer">
    <w:name w:val="footer"/>
    <w:basedOn w:val="Normal"/>
    <w:link w:val="FooterChar"/>
    <w:uiPriority w:val="99"/>
    <w:unhideWhenUsed/>
    <w:rsid w:val="005E482B"/>
    <w:pPr>
      <w:tabs>
        <w:tab w:val="center" w:pos="4536"/>
        <w:tab w:val="right" w:pos="9072"/>
      </w:tabs>
    </w:pPr>
  </w:style>
  <w:style w:type="character" w:customStyle="1" w:styleId="FooterChar">
    <w:name w:val="Footer Char"/>
    <w:basedOn w:val="DefaultParagraphFont"/>
    <w:link w:val="Footer"/>
    <w:uiPriority w:val="99"/>
    <w:rsid w:val="005E482B"/>
  </w:style>
  <w:style w:type="character" w:customStyle="1" w:styleId="Heading2Char">
    <w:name w:val="Heading 2 Char"/>
    <w:basedOn w:val="DefaultParagraphFont"/>
    <w:link w:val="Heading2"/>
    <w:uiPriority w:val="9"/>
    <w:rsid w:val="005E482B"/>
    <w:rPr>
      <w:rFonts w:ascii="Arial" w:eastAsia="Cambria" w:hAnsi="Arial" w:cs="Arial"/>
      <w:b/>
      <w:bCs/>
      <w:color w:val="000000"/>
      <w:kern w:val="16"/>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D4A07984-A4B0-42BD-B060-20F4916A862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850</Words>
  <Characters>5711</Characters>
  <Application>Microsoft Office Word</Application>
  <DocSecurity>0</DocSecurity>
  <Lines>98</Lines>
  <Paragraphs>46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EGM</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Meltem SEZER</dc:creator>
  <cp:keywords/>
  <dc:description/>
  <cp:lastModifiedBy>yazar</cp:lastModifiedBy>
  <cp:revision>5</cp:revision>
  <cp:lastPrinted>2024-08-05T12:36:00Z</cp:lastPrinted>
  <dcterms:created xsi:type="dcterms:W3CDTF">2024-08-05T12:31:00Z</dcterms:created>
  <dcterms:modified xsi:type="dcterms:W3CDTF">2024-08-05T12:36:00Z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3e720bd1-58aa-4b7b-af26-7ac4536f9bb7</vt:lpwstr>
  </property>
  <property fmtid="{D5CDD505-2E9C-101B-9397-08002B2CF9AE}" pid="3" name="bjClsUserRVM">
    <vt:lpwstr>[]</vt:lpwstr>
  </property>
  <property fmtid="{D5CDD505-2E9C-101B-9397-08002B2CF9AE}" pid="4" name="bjSaver">
    <vt:lpwstr>ocgsmZkWeiNHEbaDQ1PWMxqN0WIFweO4</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