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4EC" w:rsidRPr="00233480" w:rsidRDefault="008E6EBF" w:rsidP="00233480">
      <w:pPr>
        <w:pStyle w:val="Balk2"/>
        <w:spacing w:before="0"/>
        <w:ind w:right="900"/>
      </w:pPr>
      <w:r w:rsidRPr="003471B0">
        <w:rPr>
          <w:rFonts w:ascii="Arial" w:hAnsi="Arial" w:cs="Arial"/>
          <w:noProof/>
          <w:sz w:val="20"/>
          <w:szCs w:val="20"/>
          <w:u w:val="single"/>
          <w:lang w:eastAsia="tr-TR"/>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9200" cy="10672445"/>
                <wp:effectExtent l="0" t="0" r="0" b="0"/>
                <wp:wrapNone/>
                <wp:docPr id="2"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9200" cy="10672445"/>
                          <a:chOff x="0" y="0"/>
                          <a:chExt cx="11920" cy="16807"/>
                        </a:xfrm>
                      </wpg:grpSpPr>
                      <wps:wsp>
                        <wps:cNvPr id="3" name="Line 4"/>
                        <wps:cNvCnPr>
                          <a:cxnSpLocks noChangeShapeType="1"/>
                        </wps:cNvCnPr>
                        <wps:spPr bwMode="auto">
                          <a:xfrm>
                            <a:off x="0" y="16792"/>
                            <a:ext cx="0" cy="0"/>
                          </a:xfrm>
                          <a:prstGeom prst="line">
                            <a:avLst/>
                          </a:prstGeom>
                          <a:noFill/>
                          <a:ln w="0">
                            <a:solidFill>
                              <a:srgbClr val="A1A5A5"/>
                            </a:solidFill>
                            <a:round/>
                            <a:headEnd/>
                            <a:tailEnd/>
                          </a:ln>
                          <a:extLst>
                            <a:ext uri="{909E8E84-426E-40DD-AFC4-6F175D3DCCD1}">
                              <a14:hiddenFill xmlns:a14="http://schemas.microsoft.com/office/drawing/2010/main">
                                <a:noFill/>
                              </a14:hiddenFill>
                            </a:ext>
                          </a:extLst>
                        </wps:spPr>
                        <wps:bodyPr/>
                      </wps:wsp>
                      <wps:wsp>
                        <wps:cNvPr id="4" name="docshape6"/>
                        <wps:cNvSpPr>
                          <a:spLocks/>
                        </wps:cNvSpPr>
                        <wps:spPr bwMode="auto">
                          <a:xfrm>
                            <a:off x="0" y="0"/>
                            <a:ext cx="11920" cy="16807"/>
                          </a:xfrm>
                          <a:custGeom>
                            <a:avLst/>
                            <a:gdLst>
                              <a:gd name="T0" fmla="*/ 11920 w 11920"/>
                              <a:gd name="T1" fmla="*/ 0 h 16807"/>
                              <a:gd name="T2" fmla="*/ 11905 w 11920"/>
                              <a:gd name="T3" fmla="*/ 0 h 16807"/>
                              <a:gd name="T4" fmla="*/ 11905 w 11920"/>
                              <a:gd name="T5" fmla="*/ 16797 h 16807"/>
                              <a:gd name="T6" fmla="*/ 0 w 11920"/>
                              <a:gd name="T7" fmla="*/ 16797 h 16807"/>
                              <a:gd name="T8" fmla="*/ 0 w 11920"/>
                              <a:gd name="T9" fmla="*/ 16806 h 16807"/>
                              <a:gd name="T10" fmla="*/ 11920 w 11920"/>
                              <a:gd name="T11" fmla="*/ 16806 h 16807"/>
                              <a:gd name="T12" fmla="*/ 11920 w 11920"/>
                              <a:gd name="T13" fmla="*/ 16802 h 16807"/>
                              <a:gd name="T14" fmla="*/ 11920 w 11920"/>
                              <a:gd name="T15" fmla="*/ 16797 h 16807"/>
                              <a:gd name="T16" fmla="*/ 11920 w 11920"/>
                              <a:gd name="T17" fmla="*/ 0 h 16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920" h="16807">
                                <a:moveTo>
                                  <a:pt x="11920" y="0"/>
                                </a:moveTo>
                                <a:lnTo>
                                  <a:pt x="11905" y="0"/>
                                </a:lnTo>
                                <a:lnTo>
                                  <a:pt x="11905" y="16797"/>
                                </a:lnTo>
                                <a:lnTo>
                                  <a:pt x="0" y="16797"/>
                                </a:lnTo>
                                <a:lnTo>
                                  <a:pt x="0" y="16806"/>
                                </a:lnTo>
                                <a:lnTo>
                                  <a:pt x="11920" y="16806"/>
                                </a:lnTo>
                                <a:lnTo>
                                  <a:pt x="11920" y="16802"/>
                                </a:lnTo>
                                <a:lnTo>
                                  <a:pt x="11920" y="16797"/>
                                </a:lnTo>
                                <a:lnTo>
                                  <a:pt x="119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E8B096" id="docshapegroup5" o:spid="_x0000_s1026" style="position:absolute;margin-left:0;margin-top:0;width:596pt;height:840.35pt;z-index:-251658240;mso-position-horizontal-relative:page;mso-position-vertical-relative:page" coordsize="11920,1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">
                <v:line id="Line 4" o:spid="_x0000_s1027" style="position:absolute;visibility:visible;mso-wrap-style:square" from="0,16792" to="0,16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" strokecolor="#a1a5a5" strokeweight="0"/>
                <v:shape id="docshape6" o:spid="_x0000_s1028" style="position:absolute;width:11920;height:16807;visibility:visible;mso-wrap-style:square;v-text-anchor:top" coordsize="11920,16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" path="m11920,r-15,l11905,16797,,16797r,9l11920,16806r,-4l11920,16797,11920,xe" fillcolor="black" stroked="f">
                  <v:path arrowok="t" o:connecttype="custom" o:connectlocs="11920,0;11905,0;11905,16797;0,16797;0,16806;11920,16806;11920,16802;11920,16797;11920,0" o:connectangles="0,0,0,0,0,0,0,0,0"/>
                </v:shape>
                <w10:wrap anchorx="page" anchory="page"/>
              </v:group>
            </w:pict>
          </mc:Fallback>
        </mc:AlternateContent>
      </w:r>
      <w:r w:rsidR="00233480" w:rsidRPr="00790B68">
        <w:rPr>
          <w:rStyle w:val="document-info-label"/>
          <w:rFonts w:ascii="Arial" w:hAnsi="Arial" w:cs="Arial"/>
          <w:b/>
          <w:color w:val="auto"/>
          <w:sz w:val="20"/>
          <w:u w:val="single"/>
        </w:rPr>
        <w:t>Resmi Gazete Dışındaki Kaynak</w:t>
      </w:r>
      <w:r w:rsidR="00233480" w:rsidRPr="00790B68">
        <w:rPr>
          <w:rFonts w:ascii="Arial" w:hAnsi="Arial" w:cs="Arial"/>
          <w:b/>
          <w:color w:val="auto"/>
          <w:sz w:val="20"/>
          <w:u w:val="single"/>
        </w:rPr>
        <w:br/>
      </w:r>
      <w:r w:rsidR="00233480" w:rsidRPr="00A8107D">
        <w:rPr>
          <w:rFonts w:ascii="Arial" w:hAnsi="Arial" w:cs="Arial"/>
          <w:b/>
          <w:color w:val="auto"/>
          <w:sz w:val="20"/>
          <w:szCs w:val="20"/>
          <w:u w:val="single"/>
        </w:rPr>
        <w:t>Sigortacılık ve Özel Emeklilik Düzenleme ve Denetleme Kurumundan</w:t>
      </w:r>
      <w:r w:rsidR="00233480">
        <w:t xml:space="preserve">   </w:t>
      </w:r>
    </w:p>
    <w:p w:rsidR="00DD04EC" w:rsidRPr="00B274CC" w:rsidRDefault="00DD04EC">
      <w:pPr>
        <w:pStyle w:val="GvdeMetni"/>
        <w:rPr>
          <w:rFonts w:ascii="Arial" w:hAnsi="Arial" w:cs="Arial"/>
          <w:b/>
          <w:sz w:val="22"/>
          <w:szCs w:val="22"/>
        </w:rPr>
      </w:pPr>
    </w:p>
    <w:p w:rsidR="00DD04EC" w:rsidRPr="003471B0" w:rsidRDefault="001777F3" w:rsidP="003471B0">
      <w:pPr>
        <w:widowControl/>
        <w:autoSpaceDE/>
        <w:autoSpaceDN/>
        <w:spacing w:line="276" w:lineRule="auto"/>
        <w:jc w:val="center"/>
        <w:rPr>
          <w:rFonts w:ascii="Arial" w:eastAsiaTheme="minorHAnsi" w:hAnsi="Arial" w:cs="Arial"/>
          <w:b/>
          <w:sz w:val="24"/>
          <w:szCs w:val="24"/>
        </w:rPr>
      </w:pPr>
      <w:r w:rsidRPr="003471B0">
        <w:rPr>
          <w:rFonts w:ascii="Arial" w:eastAsiaTheme="minorHAnsi" w:hAnsi="Arial" w:cs="Arial"/>
          <w:b/>
          <w:sz w:val="24"/>
          <w:szCs w:val="24"/>
        </w:rPr>
        <w:t>KONSOLİDE FİNANSAL TABLO DÜZENLENMESİ</w:t>
      </w:r>
      <w:r w:rsidR="00B274CC" w:rsidRPr="003471B0">
        <w:rPr>
          <w:rFonts w:ascii="Arial" w:eastAsiaTheme="minorHAnsi" w:hAnsi="Arial" w:cs="Arial"/>
          <w:b/>
          <w:sz w:val="24"/>
          <w:szCs w:val="24"/>
        </w:rPr>
        <w:t>NE</w:t>
      </w:r>
      <w:r w:rsidRPr="003471B0">
        <w:rPr>
          <w:rFonts w:ascii="Arial" w:eastAsiaTheme="minorHAnsi" w:hAnsi="Arial" w:cs="Arial"/>
          <w:b/>
          <w:sz w:val="24"/>
          <w:szCs w:val="24"/>
        </w:rPr>
        <w:t xml:space="preserve"> İLİŞKİN SEKTÖR</w:t>
      </w:r>
    </w:p>
    <w:p w:rsidR="00DD04EC" w:rsidRPr="003471B0" w:rsidRDefault="001777F3" w:rsidP="003471B0">
      <w:pPr>
        <w:widowControl/>
        <w:autoSpaceDE/>
        <w:autoSpaceDN/>
        <w:spacing w:line="276" w:lineRule="auto"/>
        <w:jc w:val="center"/>
        <w:rPr>
          <w:rFonts w:ascii="Arial" w:eastAsiaTheme="minorHAnsi" w:hAnsi="Arial" w:cs="Arial"/>
          <w:b/>
          <w:sz w:val="24"/>
          <w:szCs w:val="24"/>
        </w:rPr>
      </w:pPr>
      <w:r w:rsidRPr="003471B0">
        <w:rPr>
          <w:rFonts w:ascii="Arial" w:eastAsiaTheme="minorHAnsi" w:hAnsi="Arial" w:cs="Arial"/>
          <w:b/>
          <w:sz w:val="24"/>
          <w:szCs w:val="24"/>
        </w:rPr>
        <w:t>DUYURUSU (2022/14)</w:t>
      </w:r>
    </w:p>
    <w:p w:rsidR="00DD04EC" w:rsidRDefault="00DD04EC" w:rsidP="005C524B">
      <w:pPr>
        <w:pStyle w:val="GvdeMetni"/>
        <w:jc w:val="both"/>
        <w:rPr>
          <w:rFonts w:ascii="Arial" w:hAnsi="Arial" w:cs="Arial"/>
          <w:b/>
          <w:sz w:val="22"/>
          <w:szCs w:val="22"/>
        </w:rPr>
      </w:pPr>
    </w:p>
    <w:p w:rsidR="003471B0" w:rsidRPr="00B274CC" w:rsidRDefault="003471B0" w:rsidP="005C524B">
      <w:pPr>
        <w:pStyle w:val="GvdeMetni"/>
        <w:jc w:val="both"/>
        <w:rPr>
          <w:rFonts w:ascii="Arial" w:hAnsi="Arial" w:cs="Arial"/>
          <w:b/>
          <w:sz w:val="22"/>
          <w:szCs w:val="22"/>
        </w:rPr>
      </w:pPr>
    </w:p>
    <w:p w:rsidR="00DD04EC" w:rsidRPr="003471B0" w:rsidRDefault="003A582D" w:rsidP="003471B0">
      <w:pPr>
        <w:autoSpaceDE/>
        <w:autoSpaceDN/>
        <w:spacing w:line="276" w:lineRule="auto"/>
        <w:ind w:left="170" w:right="170"/>
        <w:jc w:val="both"/>
        <w:rPr>
          <w:rFonts w:ascii="Arial" w:eastAsiaTheme="minorHAnsi" w:hAnsi="Arial" w:cs="Arial"/>
          <w:color w:val="000000"/>
          <w:kern w:val="16"/>
          <w:sz w:val="20"/>
          <w:szCs w:val="20"/>
        </w:rPr>
      </w:pPr>
      <w:r w:rsidRPr="003471B0">
        <w:rPr>
          <w:rFonts w:ascii="Arial" w:eastAsiaTheme="minorHAnsi" w:hAnsi="Arial" w:cs="Arial"/>
          <w:color w:val="000000"/>
          <w:kern w:val="16"/>
          <w:sz w:val="20"/>
          <w:szCs w:val="20"/>
        </w:rPr>
        <w:t>Bilindiği üzere, Sigort</w:t>
      </w:r>
      <w:r w:rsidR="001777F3" w:rsidRPr="003471B0">
        <w:rPr>
          <w:rFonts w:ascii="Arial" w:eastAsiaTheme="minorHAnsi" w:hAnsi="Arial" w:cs="Arial"/>
          <w:color w:val="000000"/>
          <w:kern w:val="16"/>
          <w:sz w:val="20"/>
          <w:szCs w:val="20"/>
        </w:rPr>
        <w:t>a ve Reasürans Şirketleri ile Emeklilik Şirketlerinin Finansal Raporlamaları Hakkında Yönetmeliğin 4 üncü maddesinin ikinci fıkrasında; "</w:t>
      </w:r>
      <w:r w:rsidR="001777F3" w:rsidRPr="003471B0">
        <w:rPr>
          <w:rFonts w:ascii="Arial" w:eastAsiaTheme="minorHAnsi" w:hAnsi="Arial" w:cs="Arial"/>
          <w:i/>
          <w:color w:val="000000"/>
          <w:kern w:val="16"/>
          <w:sz w:val="20"/>
          <w:szCs w:val="20"/>
        </w:rPr>
        <w:t>Sigorta sözleşmel</w:t>
      </w:r>
      <w:r w:rsidRPr="003471B0">
        <w:rPr>
          <w:rFonts w:ascii="Arial" w:eastAsiaTheme="minorHAnsi" w:hAnsi="Arial" w:cs="Arial"/>
          <w:i/>
          <w:color w:val="000000"/>
          <w:kern w:val="16"/>
          <w:sz w:val="20"/>
          <w:szCs w:val="20"/>
        </w:rPr>
        <w:t>erine, bağlı ortaklık, birlikt</w:t>
      </w:r>
      <w:r w:rsidR="001777F3" w:rsidRPr="003471B0">
        <w:rPr>
          <w:rFonts w:ascii="Arial" w:eastAsiaTheme="minorHAnsi" w:hAnsi="Arial" w:cs="Arial"/>
          <w:i/>
          <w:color w:val="000000"/>
          <w:kern w:val="16"/>
          <w:sz w:val="20"/>
          <w:szCs w:val="20"/>
        </w:rPr>
        <w:t xml:space="preserve">e kontrol edilen ortaklık ve iştiraklerin muhasebeleştirilmesi ve konsolide finansal tablolar, kamuya açıklanacak finansal tablolar ile </w:t>
      </w:r>
      <w:r w:rsidRPr="003471B0">
        <w:rPr>
          <w:rFonts w:ascii="Arial" w:eastAsiaTheme="minorHAnsi" w:hAnsi="Arial" w:cs="Arial"/>
          <w:i/>
          <w:color w:val="000000"/>
          <w:kern w:val="16"/>
          <w:sz w:val="20"/>
          <w:szCs w:val="20"/>
        </w:rPr>
        <w:t>b</w:t>
      </w:r>
      <w:r w:rsidR="001777F3" w:rsidRPr="003471B0">
        <w:rPr>
          <w:rFonts w:ascii="Arial" w:eastAsiaTheme="minorHAnsi" w:hAnsi="Arial" w:cs="Arial"/>
          <w:i/>
          <w:color w:val="000000"/>
          <w:kern w:val="16"/>
          <w:sz w:val="20"/>
          <w:szCs w:val="20"/>
        </w:rPr>
        <w:t>unlara ilişkin açıklama ve dipnotların düzenlenmesine ilişkin usul ve esaslar Müsteşarlıkça çık</w:t>
      </w:r>
      <w:bookmarkStart w:id="0" w:name="_GoBack"/>
      <w:bookmarkEnd w:id="0"/>
      <w:r w:rsidR="001777F3" w:rsidRPr="003471B0">
        <w:rPr>
          <w:rFonts w:ascii="Arial" w:eastAsiaTheme="minorHAnsi" w:hAnsi="Arial" w:cs="Arial"/>
          <w:i/>
          <w:color w:val="000000"/>
          <w:kern w:val="16"/>
          <w:sz w:val="20"/>
          <w:szCs w:val="20"/>
        </w:rPr>
        <w:t xml:space="preserve">arılacak </w:t>
      </w:r>
      <w:r w:rsidRPr="003471B0">
        <w:rPr>
          <w:rFonts w:ascii="Arial" w:eastAsiaTheme="minorHAnsi" w:hAnsi="Arial" w:cs="Arial"/>
          <w:i/>
          <w:color w:val="000000"/>
          <w:kern w:val="16"/>
          <w:sz w:val="20"/>
          <w:szCs w:val="20"/>
        </w:rPr>
        <w:t>t</w:t>
      </w:r>
      <w:r w:rsidR="001777F3" w:rsidRPr="003471B0">
        <w:rPr>
          <w:rFonts w:ascii="Arial" w:eastAsiaTheme="minorHAnsi" w:hAnsi="Arial" w:cs="Arial"/>
          <w:i/>
          <w:color w:val="000000"/>
          <w:kern w:val="16"/>
          <w:sz w:val="20"/>
          <w:szCs w:val="20"/>
        </w:rPr>
        <w:t>ebliğler ile belirlenir</w:t>
      </w:r>
      <w:r w:rsidR="001777F3" w:rsidRPr="003471B0">
        <w:rPr>
          <w:rFonts w:ascii="Arial" w:eastAsiaTheme="minorHAnsi" w:hAnsi="Arial" w:cs="Arial"/>
          <w:color w:val="000000"/>
          <w:kern w:val="16"/>
          <w:sz w:val="20"/>
          <w:szCs w:val="20"/>
        </w:rPr>
        <w:t>." hükmü yer almaktad</w:t>
      </w:r>
      <w:r w:rsidRPr="003471B0">
        <w:rPr>
          <w:rFonts w:ascii="Arial" w:eastAsiaTheme="minorHAnsi" w:hAnsi="Arial" w:cs="Arial"/>
          <w:color w:val="000000"/>
          <w:kern w:val="16"/>
          <w:sz w:val="20"/>
          <w:szCs w:val="20"/>
        </w:rPr>
        <w:t>ı</w:t>
      </w:r>
      <w:r w:rsidR="001777F3" w:rsidRPr="003471B0">
        <w:rPr>
          <w:rFonts w:ascii="Arial" w:eastAsiaTheme="minorHAnsi" w:hAnsi="Arial" w:cs="Arial"/>
          <w:color w:val="000000"/>
          <w:kern w:val="16"/>
          <w:sz w:val="20"/>
          <w:szCs w:val="20"/>
        </w:rPr>
        <w:t>r. Söz konusu hüküm doğrultusunda 31/12/2008 tarih ve 27097 (4. Mükerrer) sayılı Resmi Gazete'de Sigorta ve Reasürans Şirketleri ile Emeklilik Şirketlerinin Konsolide Finansal Tabloları</w:t>
      </w:r>
      <w:r w:rsidRPr="003471B0">
        <w:rPr>
          <w:rFonts w:ascii="Arial" w:eastAsiaTheme="minorHAnsi" w:hAnsi="Arial" w:cs="Arial"/>
          <w:color w:val="000000"/>
          <w:kern w:val="16"/>
          <w:sz w:val="20"/>
          <w:szCs w:val="20"/>
        </w:rPr>
        <w:t>nın</w:t>
      </w:r>
      <w:r w:rsidR="001777F3" w:rsidRPr="003471B0">
        <w:rPr>
          <w:rFonts w:ascii="Arial" w:eastAsiaTheme="minorHAnsi" w:hAnsi="Arial" w:cs="Arial"/>
          <w:color w:val="000000"/>
          <w:kern w:val="16"/>
          <w:sz w:val="20"/>
          <w:szCs w:val="20"/>
        </w:rPr>
        <w:t xml:space="preserve"> Düzenlenmesine İlişkin Tebliğ (Tebliğ) yayımlanmış</w:t>
      </w:r>
      <w:r w:rsidRPr="003471B0">
        <w:rPr>
          <w:rFonts w:ascii="Arial" w:eastAsiaTheme="minorHAnsi" w:hAnsi="Arial" w:cs="Arial"/>
          <w:color w:val="000000"/>
          <w:kern w:val="16"/>
          <w:sz w:val="20"/>
          <w:szCs w:val="20"/>
        </w:rPr>
        <w:t>tı</w:t>
      </w:r>
      <w:r w:rsidR="001777F3" w:rsidRPr="003471B0">
        <w:rPr>
          <w:rFonts w:ascii="Arial" w:eastAsiaTheme="minorHAnsi" w:hAnsi="Arial" w:cs="Arial"/>
          <w:color w:val="000000"/>
          <w:kern w:val="16"/>
          <w:sz w:val="20"/>
          <w:szCs w:val="20"/>
        </w:rPr>
        <w:t>r.</w:t>
      </w:r>
    </w:p>
    <w:p w:rsidR="00DD04EC" w:rsidRPr="00B274CC" w:rsidRDefault="00DD04EC" w:rsidP="003471B0">
      <w:pPr>
        <w:pStyle w:val="GvdeMetni"/>
        <w:spacing w:line="276" w:lineRule="auto"/>
        <w:jc w:val="both"/>
        <w:rPr>
          <w:rFonts w:ascii="Arial" w:hAnsi="Arial" w:cs="Arial"/>
          <w:sz w:val="22"/>
          <w:szCs w:val="22"/>
        </w:rPr>
      </w:pPr>
    </w:p>
    <w:p w:rsidR="00DD04EC" w:rsidRPr="003471B0" w:rsidRDefault="001777F3" w:rsidP="003471B0">
      <w:pPr>
        <w:autoSpaceDE/>
        <w:autoSpaceDN/>
        <w:spacing w:line="276" w:lineRule="auto"/>
        <w:ind w:left="170" w:right="170"/>
        <w:jc w:val="both"/>
        <w:rPr>
          <w:rFonts w:ascii="Arial" w:eastAsiaTheme="minorHAnsi" w:hAnsi="Arial" w:cs="Arial"/>
          <w:color w:val="000000"/>
          <w:kern w:val="16"/>
          <w:sz w:val="20"/>
          <w:szCs w:val="20"/>
        </w:rPr>
      </w:pPr>
      <w:r w:rsidRPr="003471B0">
        <w:rPr>
          <w:rFonts w:ascii="Arial" w:eastAsiaTheme="minorHAnsi" w:hAnsi="Arial" w:cs="Arial"/>
          <w:color w:val="000000"/>
          <w:kern w:val="16"/>
          <w:sz w:val="20"/>
          <w:szCs w:val="20"/>
        </w:rPr>
        <w:t>Söz konusu Tebliğin 3 üncü maddesinde kontr</w:t>
      </w:r>
      <w:r w:rsidR="003A582D" w:rsidRPr="003471B0">
        <w:rPr>
          <w:rFonts w:ascii="Arial" w:eastAsiaTheme="minorHAnsi" w:hAnsi="Arial" w:cs="Arial"/>
          <w:color w:val="000000"/>
          <w:kern w:val="16"/>
          <w:sz w:val="20"/>
          <w:szCs w:val="20"/>
        </w:rPr>
        <w:t>o</w:t>
      </w:r>
      <w:r w:rsidRPr="003471B0">
        <w:rPr>
          <w:rFonts w:ascii="Arial" w:eastAsiaTheme="minorHAnsi" w:hAnsi="Arial" w:cs="Arial"/>
          <w:color w:val="000000"/>
          <w:kern w:val="16"/>
          <w:sz w:val="20"/>
          <w:szCs w:val="20"/>
        </w:rPr>
        <w:t xml:space="preserve">l; bir tüzel kişinin, sermayesinin, </w:t>
      </w:r>
      <w:r w:rsidR="003A582D" w:rsidRPr="003471B0">
        <w:rPr>
          <w:rFonts w:ascii="Arial" w:eastAsiaTheme="minorHAnsi" w:hAnsi="Arial" w:cs="Arial"/>
          <w:color w:val="000000"/>
          <w:kern w:val="16"/>
          <w:sz w:val="20"/>
          <w:szCs w:val="20"/>
        </w:rPr>
        <w:t>asgari</w:t>
      </w:r>
      <w:r w:rsidRPr="003471B0">
        <w:rPr>
          <w:rFonts w:ascii="Arial" w:eastAsiaTheme="minorHAnsi" w:hAnsi="Arial" w:cs="Arial"/>
          <w:color w:val="000000"/>
          <w:kern w:val="16"/>
          <w:sz w:val="20"/>
          <w:szCs w:val="20"/>
        </w:rPr>
        <w:t xml:space="preserve"> yüzde elli birine sahip </w:t>
      </w:r>
      <w:r w:rsidR="003A582D" w:rsidRPr="003471B0">
        <w:rPr>
          <w:rFonts w:ascii="Arial" w:eastAsiaTheme="minorHAnsi" w:hAnsi="Arial" w:cs="Arial"/>
          <w:color w:val="000000"/>
          <w:kern w:val="16"/>
          <w:sz w:val="20"/>
          <w:szCs w:val="20"/>
        </w:rPr>
        <w:t>olma şartı aranmaksızın,</w:t>
      </w:r>
      <w:r w:rsidRPr="003471B0">
        <w:rPr>
          <w:rFonts w:ascii="Arial" w:eastAsiaTheme="minorHAnsi" w:hAnsi="Arial" w:cs="Arial"/>
          <w:color w:val="000000"/>
          <w:kern w:val="16"/>
          <w:sz w:val="20"/>
          <w:szCs w:val="20"/>
        </w:rPr>
        <w:t xml:space="preserve"> çoğunluğuna doğrudan veya dolaylı olarak sahip olunması veya bu çoğunluğa sahip olunmamakla birlikte imtiyazlı hisselerin elde bulundurulması veya diğer hissedarlarla yapılan anlaşmalara istinaden oy hakkının çoğunluğu üzerinde tasarrufta bulunulması suretiyle veya herhangi bir suretle yönetim kurulu üyelerinin karara esas çoğunluğunu atayabilme ya da görevden alma gücünün </w:t>
      </w:r>
      <w:r w:rsidR="003A582D" w:rsidRPr="003471B0">
        <w:rPr>
          <w:rFonts w:ascii="Arial" w:eastAsiaTheme="minorHAnsi" w:hAnsi="Arial" w:cs="Arial"/>
          <w:color w:val="000000"/>
          <w:kern w:val="16"/>
          <w:sz w:val="20"/>
          <w:szCs w:val="20"/>
        </w:rPr>
        <w:t>elde bulundurulması olarak ta</w:t>
      </w:r>
      <w:r w:rsidR="00C57871" w:rsidRPr="003471B0">
        <w:rPr>
          <w:rFonts w:ascii="Arial" w:eastAsiaTheme="minorHAnsi" w:hAnsi="Arial" w:cs="Arial"/>
          <w:color w:val="000000"/>
          <w:kern w:val="16"/>
          <w:sz w:val="20"/>
          <w:szCs w:val="20"/>
        </w:rPr>
        <w:t xml:space="preserve">nımlanmıştır. </w:t>
      </w:r>
      <w:r w:rsidRPr="003471B0">
        <w:rPr>
          <w:rFonts w:ascii="Arial" w:eastAsiaTheme="minorHAnsi" w:hAnsi="Arial" w:cs="Arial"/>
          <w:color w:val="000000"/>
          <w:kern w:val="16"/>
          <w:sz w:val="20"/>
          <w:szCs w:val="20"/>
        </w:rPr>
        <w:t>Tebl</w:t>
      </w:r>
      <w:r w:rsidR="003A582D" w:rsidRPr="003471B0">
        <w:rPr>
          <w:rFonts w:ascii="Arial" w:eastAsiaTheme="minorHAnsi" w:hAnsi="Arial" w:cs="Arial"/>
          <w:color w:val="000000"/>
          <w:kern w:val="16"/>
          <w:sz w:val="20"/>
          <w:szCs w:val="20"/>
        </w:rPr>
        <w:t>iğin 5 inci</w:t>
      </w:r>
      <w:r w:rsidRPr="003471B0">
        <w:rPr>
          <w:rFonts w:ascii="Arial" w:eastAsiaTheme="minorHAnsi" w:hAnsi="Arial" w:cs="Arial"/>
          <w:color w:val="000000"/>
          <w:kern w:val="16"/>
          <w:sz w:val="20"/>
          <w:szCs w:val="20"/>
        </w:rPr>
        <w:t xml:space="preserve"> maddesinde ise konsolide finansal tablo düzenleme zorunluluğuna ilişkin hükümler belirlenmiş, ana ortaklık şirketlerin satış amaçlı olmayan gruba dahil tüm bağlı ortaklık, iştirak ve birlikte kontrol edi</w:t>
      </w:r>
      <w:r w:rsidR="003A582D" w:rsidRPr="003471B0">
        <w:rPr>
          <w:rFonts w:ascii="Arial" w:eastAsiaTheme="minorHAnsi" w:hAnsi="Arial" w:cs="Arial"/>
          <w:color w:val="000000"/>
          <w:kern w:val="16"/>
          <w:sz w:val="20"/>
          <w:szCs w:val="20"/>
        </w:rPr>
        <w:t>len ortaklıkların finansal tabl</w:t>
      </w:r>
      <w:r w:rsidRPr="003471B0">
        <w:rPr>
          <w:rFonts w:ascii="Arial" w:eastAsiaTheme="minorHAnsi" w:hAnsi="Arial" w:cs="Arial"/>
          <w:color w:val="000000"/>
          <w:kern w:val="16"/>
          <w:sz w:val="20"/>
          <w:szCs w:val="20"/>
        </w:rPr>
        <w:t>olarını konsolide etmekle yük</w:t>
      </w:r>
      <w:r w:rsidR="003A582D" w:rsidRPr="003471B0">
        <w:rPr>
          <w:rFonts w:ascii="Arial" w:eastAsiaTheme="minorHAnsi" w:hAnsi="Arial" w:cs="Arial"/>
          <w:color w:val="000000"/>
          <w:kern w:val="16"/>
          <w:sz w:val="20"/>
          <w:szCs w:val="20"/>
        </w:rPr>
        <w:t>ümlü oldukları ifade edilmiştir.</w:t>
      </w:r>
    </w:p>
    <w:p w:rsidR="00DD04EC" w:rsidRPr="003471B0" w:rsidRDefault="00DD04EC" w:rsidP="003471B0">
      <w:pPr>
        <w:autoSpaceDE/>
        <w:autoSpaceDN/>
        <w:spacing w:line="276" w:lineRule="auto"/>
        <w:ind w:left="170" w:right="170"/>
        <w:jc w:val="both"/>
        <w:rPr>
          <w:rFonts w:ascii="Arial" w:eastAsiaTheme="minorHAnsi" w:hAnsi="Arial" w:cs="Arial"/>
          <w:color w:val="000000"/>
          <w:kern w:val="16"/>
          <w:sz w:val="20"/>
          <w:szCs w:val="20"/>
        </w:rPr>
      </w:pPr>
    </w:p>
    <w:p w:rsidR="00DD04EC" w:rsidRPr="003471B0" w:rsidRDefault="001777F3" w:rsidP="003471B0">
      <w:pPr>
        <w:autoSpaceDE/>
        <w:autoSpaceDN/>
        <w:spacing w:line="276" w:lineRule="auto"/>
        <w:ind w:left="170" w:right="170"/>
        <w:jc w:val="both"/>
        <w:rPr>
          <w:rFonts w:ascii="Arial" w:eastAsiaTheme="minorHAnsi" w:hAnsi="Arial" w:cs="Arial"/>
          <w:color w:val="000000"/>
          <w:kern w:val="16"/>
          <w:sz w:val="20"/>
          <w:szCs w:val="20"/>
        </w:rPr>
      </w:pPr>
      <w:r w:rsidRPr="003471B0">
        <w:rPr>
          <w:rFonts w:ascii="Arial" w:eastAsiaTheme="minorHAnsi" w:hAnsi="Arial" w:cs="Arial"/>
          <w:color w:val="000000"/>
          <w:kern w:val="16"/>
          <w:sz w:val="20"/>
          <w:szCs w:val="20"/>
        </w:rPr>
        <w:t>Ku</w:t>
      </w:r>
      <w:r w:rsidR="003A582D" w:rsidRPr="003471B0">
        <w:rPr>
          <w:rFonts w:ascii="Arial" w:eastAsiaTheme="minorHAnsi" w:hAnsi="Arial" w:cs="Arial"/>
          <w:color w:val="000000"/>
          <w:kern w:val="16"/>
          <w:sz w:val="20"/>
          <w:szCs w:val="20"/>
        </w:rPr>
        <w:t>rumumuza</w:t>
      </w:r>
      <w:r w:rsidRPr="003471B0">
        <w:rPr>
          <w:rFonts w:ascii="Arial" w:eastAsiaTheme="minorHAnsi" w:hAnsi="Arial" w:cs="Arial"/>
          <w:color w:val="000000"/>
          <w:kern w:val="16"/>
          <w:sz w:val="20"/>
          <w:szCs w:val="20"/>
        </w:rPr>
        <w:t xml:space="preserve"> iletilen t</w:t>
      </w:r>
      <w:r w:rsidR="003A582D" w:rsidRPr="003471B0">
        <w:rPr>
          <w:rFonts w:ascii="Arial" w:eastAsiaTheme="minorHAnsi" w:hAnsi="Arial" w:cs="Arial"/>
          <w:color w:val="000000"/>
          <w:kern w:val="16"/>
          <w:sz w:val="20"/>
          <w:szCs w:val="20"/>
        </w:rPr>
        <w:t>aleplerden şirketlerin varlıkları</w:t>
      </w:r>
      <w:r w:rsidRPr="003471B0">
        <w:rPr>
          <w:rFonts w:ascii="Arial" w:eastAsiaTheme="minorHAnsi" w:hAnsi="Arial" w:cs="Arial"/>
          <w:color w:val="000000"/>
          <w:kern w:val="16"/>
          <w:sz w:val="20"/>
          <w:szCs w:val="20"/>
        </w:rPr>
        <w:t xml:space="preserve"> </w:t>
      </w:r>
      <w:r w:rsidR="003A582D" w:rsidRPr="003471B0">
        <w:rPr>
          <w:rFonts w:ascii="Arial" w:eastAsiaTheme="minorHAnsi" w:hAnsi="Arial" w:cs="Arial"/>
          <w:color w:val="000000"/>
          <w:kern w:val="16"/>
          <w:sz w:val="20"/>
          <w:szCs w:val="20"/>
        </w:rPr>
        <w:t>arasın</w:t>
      </w:r>
      <w:r w:rsidRPr="003471B0">
        <w:rPr>
          <w:rFonts w:ascii="Arial" w:eastAsiaTheme="minorHAnsi" w:hAnsi="Arial" w:cs="Arial"/>
          <w:color w:val="000000"/>
          <w:kern w:val="16"/>
          <w:sz w:val="20"/>
          <w:szCs w:val="20"/>
        </w:rPr>
        <w:t>da yer alan yatırım fonlarının Tebliğin 5 inci maddesi doğrultusunda konsolidasyona tabi tutulup tutulmayacağı hususunda tereddütlerin hasıl olduğu anlaşılmaktadır.</w:t>
      </w:r>
    </w:p>
    <w:p w:rsidR="00DD04EC" w:rsidRPr="003471B0" w:rsidRDefault="00DD04EC" w:rsidP="003471B0">
      <w:pPr>
        <w:autoSpaceDE/>
        <w:autoSpaceDN/>
        <w:spacing w:line="276" w:lineRule="auto"/>
        <w:ind w:left="170" w:right="170"/>
        <w:jc w:val="both"/>
        <w:rPr>
          <w:rFonts w:ascii="Arial" w:eastAsiaTheme="minorHAnsi" w:hAnsi="Arial" w:cs="Arial"/>
          <w:color w:val="000000"/>
          <w:kern w:val="16"/>
          <w:sz w:val="20"/>
          <w:szCs w:val="20"/>
        </w:rPr>
      </w:pPr>
    </w:p>
    <w:p w:rsidR="00DD04EC" w:rsidRPr="003471B0" w:rsidRDefault="001777F3" w:rsidP="003471B0">
      <w:pPr>
        <w:autoSpaceDE/>
        <w:autoSpaceDN/>
        <w:spacing w:line="276" w:lineRule="auto"/>
        <w:ind w:left="170" w:right="170"/>
        <w:jc w:val="both"/>
        <w:rPr>
          <w:rFonts w:ascii="Arial" w:eastAsiaTheme="minorHAnsi" w:hAnsi="Arial" w:cs="Arial"/>
          <w:color w:val="000000"/>
          <w:kern w:val="16"/>
          <w:sz w:val="20"/>
          <w:szCs w:val="20"/>
        </w:rPr>
      </w:pPr>
      <w:r w:rsidRPr="003471B0">
        <w:rPr>
          <w:rFonts w:ascii="Arial" w:eastAsiaTheme="minorHAnsi" w:hAnsi="Arial" w:cs="Arial"/>
          <w:color w:val="000000"/>
          <w:kern w:val="16"/>
          <w:sz w:val="20"/>
          <w:szCs w:val="20"/>
        </w:rPr>
        <w:t xml:space="preserve">Bilindiği üzere, 6362 </w:t>
      </w:r>
      <w:r w:rsidR="003A582D" w:rsidRPr="003471B0">
        <w:rPr>
          <w:rFonts w:ascii="Arial" w:eastAsiaTheme="minorHAnsi" w:hAnsi="Arial" w:cs="Arial"/>
          <w:color w:val="000000"/>
          <w:kern w:val="16"/>
          <w:sz w:val="20"/>
          <w:szCs w:val="20"/>
        </w:rPr>
        <w:t>sayılı Ser</w:t>
      </w:r>
      <w:r w:rsidRPr="003471B0">
        <w:rPr>
          <w:rFonts w:ascii="Arial" w:eastAsiaTheme="minorHAnsi" w:hAnsi="Arial" w:cs="Arial"/>
          <w:color w:val="000000"/>
          <w:kern w:val="16"/>
          <w:sz w:val="20"/>
          <w:szCs w:val="20"/>
        </w:rPr>
        <w:t>maye Piyasası Kanu</w:t>
      </w:r>
      <w:r w:rsidR="00C57871" w:rsidRPr="003471B0">
        <w:rPr>
          <w:rFonts w:ascii="Arial" w:eastAsiaTheme="minorHAnsi" w:hAnsi="Arial" w:cs="Arial"/>
          <w:color w:val="000000"/>
          <w:kern w:val="16"/>
          <w:sz w:val="20"/>
          <w:szCs w:val="20"/>
        </w:rPr>
        <w:t>nunun “Yat</w:t>
      </w:r>
      <w:r w:rsidRPr="003471B0">
        <w:rPr>
          <w:rFonts w:ascii="Arial" w:eastAsiaTheme="minorHAnsi" w:hAnsi="Arial" w:cs="Arial"/>
          <w:color w:val="000000"/>
          <w:kern w:val="16"/>
          <w:sz w:val="20"/>
          <w:szCs w:val="20"/>
        </w:rPr>
        <w:t>ırım</w:t>
      </w:r>
      <w:r w:rsidR="00C57871" w:rsidRPr="003471B0">
        <w:rPr>
          <w:rFonts w:ascii="Arial" w:eastAsiaTheme="minorHAnsi" w:hAnsi="Arial" w:cs="Arial"/>
          <w:color w:val="000000"/>
          <w:kern w:val="16"/>
          <w:sz w:val="20"/>
          <w:szCs w:val="20"/>
        </w:rPr>
        <w:t xml:space="preserve"> fonları”</w:t>
      </w:r>
      <w:r w:rsidRPr="003471B0">
        <w:rPr>
          <w:rFonts w:ascii="Arial" w:eastAsiaTheme="minorHAnsi" w:hAnsi="Arial" w:cs="Arial"/>
          <w:color w:val="000000"/>
          <w:kern w:val="16"/>
          <w:sz w:val="20"/>
          <w:szCs w:val="20"/>
        </w:rPr>
        <w:t xml:space="preserve"> başlıklı 52 nci maddesinin </w:t>
      </w:r>
      <w:r w:rsidR="00C57871" w:rsidRPr="003471B0">
        <w:rPr>
          <w:rFonts w:ascii="Arial" w:eastAsiaTheme="minorHAnsi" w:hAnsi="Arial" w:cs="Arial"/>
          <w:color w:val="000000"/>
          <w:kern w:val="16"/>
          <w:sz w:val="20"/>
          <w:szCs w:val="20"/>
        </w:rPr>
        <w:t>birinci fıkrasında;</w:t>
      </w:r>
      <w:r w:rsidRPr="003471B0">
        <w:rPr>
          <w:rFonts w:ascii="Arial" w:eastAsiaTheme="minorHAnsi" w:hAnsi="Arial" w:cs="Arial"/>
          <w:color w:val="000000"/>
          <w:kern w:val="16"/>
          <w:sz w:val="20"/>
          <w:szCs w:val="20"/>
        </w:rPr>
        <w:t xml:space="preserve"> "</w:t>
      </w:r>
      <w:r w:rsidRPr="003471B0">
        <w:rPr>
          <w:rFonts w:ascii="Arial" w:eastAsiaTheme="minorHAnsi" w:hAnsi="Arial" w:cs="Arial"/>
          <w:i/>
          <w:color w:val="000000"/>
          <w:kern w:val="16"/>
          <w:sz w:val="20"/>
          <w:szCs w:val="20"/>
        </w:rPr>
        <w:t>Bu Kanun hükümleri uyarınca tasarruf sahipl</w:t>
      </w:r>
      <w:r w:rsidR="00C57871" w:rsidRPr="003471B0">
        <w:rPr>
          <w:rFonts w:ascii="Arial" w:eastAsiaTheme="minorHAnsi" w:hAnsi="Arial" w:cs="Arial"/>
          <w:i/>
          <w:color w:val="000000"/>
          <w:kern w:val="16"/>
          <w:sz w:val="20"/>
          <w:szCs w:val="20"/>
        </w:rPr>
        <w:t>erinden fon katılma payı karşılı</w:t>
      </w:r>
      <w:r w:rsidRPr="003471B0">
        <w:rPr>
          <w:rFonts w:ascii="Arial" w:eastAsiaTheme="minorHAnsi" w:hAnsi="Arial" w:cs="Arial"/>
          <w:i/>
          <w:color w:val="000000"/>
          <w:kern w:val="16"/>
          <w:sz w:val="20"/>
          <w:szCs w:val="20"/>
        </w:rPr>
        <w:t xml:space="preserve">ğında toplanan para ya da diğer varlıklarla, </w:t>
      </w:r>
      <w:r w:rsidR="00C57871" w:rsidRPr="003471B0">
        <w:rPr>
          <w:rFonts w:ascii="Arial" w:eastAsiaTheme="minorHAnsi" w:hAnsi="Arial" w:cs="Arial"/>
          <w:i/>
          <w:color w:val="000000"/>
          <w:kern w:val="16"/>
          <w:sz w:val="20"/>
          <w:szCs w:val="20"/>
        </w:rPr>
        <w:t>t</w:t>
      </w:r>
      <w:r w:rsidRPr="003471B0">
        <w:rPr>
          <w:rFonts w:ascii="Arial" w:eastAsiaTheme="minorHAnsi" w:hAnsi="Arial" w:cs="Arial"/>
          <w:i/>
          <w:color w:val="000000"/>
          <w:kern w:val="16"/>
          <w:sz w:val="20"/>
          <w:szCs w:val="20"/>
        </w:rPr>
        <w:t>asarruf sahipleri hesabına, inançlı mülkiye</w:t>
      </w:r>
      <w:r w:rsidR="00C57871" w:rsidRPr="003471B0">
        <w:rPr>
          <w:rFonts w:ascii="Arial" w:eastAsiaTheme="minorHAnsi" w:hAnsi="Arial" w:cs="Arial"/>
          <w:i/>
          <w:color w:val="000000"/>
          <w:kern w:val="16"/>
          <w:sz w:val="20"/>
          <w:szCs w:val="20"/>
        </w:rPr>
        <w:t>t</w:t>
      </w:r>
      <w:r w:rsidRPr="003471B0">
        <w:rPr>
          <w:rFonts w:ascii="Arial" w:eastAsiaTheme="minorHAnsi" w:hAnsi="Arial" w:cs="Arial"/>
          <w:i/>
          <w:color w:val="000000"/>
          <w:kern w:val="16"/>
          <w:sz w:val="20"/>
          <w:szCs w:val="20"/>
        </w:rPr>
        <w:t xml:space="preserve"> esaslarına göre Kurulca belirlenen varlık ve haklardan oluşan portföy veya portföyleri işletmek amacıyla portföy yönetim şirke</w:t>
      </w:r>
      <w:r w:rsidR="00C57871" w:rsidRPr="003471B0">
        <w:rPr>
          <w:rFonts w:ascii="Arial" w:eastAsiaTheme="minorHAnsi" w:hAnsi="Arial" w:cs="Arial"/>
          <w:i/>
          <w:color w:val="000000"/>
          <w:kern w:val="16"/>
          <w:sz w:val="20"/>
          <w:szCs w:val="20"/>
        </w:rPr>
        <w:t>tleri tarafından fon iç tü</w:t>
      </w:r>
      <w:r w:rsidRPr="003471B0">
        <w:rPr>
          <w:rFonts w:ascii="Arial" w:eastAsiaTheme="minorHAnsi" w:hAnsi="Arial" w:cs="Arial"/>
          <w:i/>
          <w:color w:val="000000"/>
          <w:kern w:val="16"/>
          <w:sz w:val="20"/>
          <w:szCs w:val="20"/>
        </w:rPr>
        <w:t>züğü ile kurulan ve tüzel kişiliği bulunmayan mal varlığına yatırım fonu adı verilir</w:t>
      </w:r>
      <w:r w:rsidRPr="003471B0">
        <w:rPr>
          <w:rFonts w:ascii="Arial" w:eastAsiaTheme="minorHAnsi" w:hAnsi="Arial" w:cs="Arial"/>
          <w:color w:val="000000"/>
          <w:kern w:val="16"/>
          <w:sz w:val="20"/>
          <w:szCs w:val="20"/>
        </w:rPr>
        <w:t>." hükmü yer almaktadır.</w:t>
      </w:r>
    </w:p>
    <w:p w:rsidR="00DD04EC" w:rsidRPr="003471B0" w:rsidRDefault="00DD04EC" w:rsidP="003471B0">
      <w:pPr>
        <w:autoSpaceDE/>
        <w:autoSpaceDN/>
        <w:spacing w:line="276" w:lineRule="auto"/>
        <w:ind w:left="170" w:right="170"/>
        <w:jc w:val="both"/>
        <w:rPr>
          <w:rFonts w:ascii="Arial" w:eastAsiaTheme="minorHAnsi" w:hAnsi="Arial" w:cs="Arial"/>
          <w:color w:val="000000"/>
          <w:kern w:val="16"/>
          <w:sz w:val="20"/>
          <w:szCs w:val="20"/>
        </w:rPr>
      </w:pPr>
    </w:p>
    <w:p w:rsidR="00DD04EC" w:rsidRPr="003471B0" w:rsidRDefault="001777F3" w:rsidP="003471B0">
      <w:pPr>
        <w:autoSpaceDE/>
        <w:autoSpaceDN/>
        <w:spacing w:line="276" w:lineRule="auto"/>
        <w:ind w:left="170" w:right="170"/>
        <w:jc w:val="both"/>
        <w:rPr>
          <w:rFonts w:ascii="Arial" w:eastAsiaTheme="minorHAnsi" w:hAnsi="Arial" w:cs="Arial"/>
          <w:color w:val="000000"/>
          <w:kern w:val="16"/>
          <w:sz w:val="20"/>
          <w:szCs w:val="20"/>
        </w:rPr>
      </w:pPr>
      <w:r w:rsidRPr="003471B0">
        <w:rPr>
          <w:rFonts w:ascii="Arial" w:eastAsiaTheme="minorHAnsi" w:hAnsi="Arial" w:cs="Arial"/>
          <w:color w:val="000000"/>
          <w:kern w:val="16"/>
          <w:sz w:val="20"/>
          <w:szCs w:val="20"/>
        </w:rPr>
        <w:t xml:space="preserve">Tebliğ uyarınca konsolidasyona tabi tutulacak bağlı ortaklık, iştirak ve birlikte kontrol edilen ortaklıkların belirlenmesinde </w:t>
      </w:r>
      <w:r w:rsidR="00C57871" w:rsidRPr="003471B0">
        <w:rPr>
          <w:rFonts w:ascii="Arial" w:eastAsiaTheme="minorHAnsi" w:hAnsi="Arial" w:cs="Arial"/>
          <w:color w:val="000000"/>
          <w:kern w:val="16"/>
          <w:sz w:val="20"/>
          <w:szCs w:val="20"/>
        </w:rPr>
        <w:t>“kontrol” tan</w:t>
      </w:r>
      <w:r w:rsidRPr="003471B0">
        <w:rPr>
          <w:rFonts w:ascii="Arial" w:eastAsiaTheme="minorHAnsi" w:hAnsi="Arial" w:cs="Arial"/>
          <w:color w:val="000000"/>
          <w:kern w:val="16"/>
          <w:sz w:val="20"/>
          <w:szCs w:val="20"/>
        </w:rPr>
        <w:t>ımı uyarınca söz konusu varlıkların "tüzel kişi</w:t>
      </w:r>
      <w:r w:rsidR="00C57871" w:rsidRPr="003471B0">
        <w:rPr>
          <w:rFonts w:ascii="Arial" w:eastAsiaTheme="minorHAnsi" w:hAnsi="Arial" w:cs="Arial"/>
          <w:color w:val="000000"/>
          <w:kern w:val="16"/>
          <w:sz w:val="20"/>
          <w:szCs w:val="20"/>
        </w:rPr>
        <w:t>'' niteli</w:t>
      </w:r>
      <w:r w:rsidRPr="003471B0">
        <w:rPr>
          <w:rFonts w:ascii="Arial" w:eastAsiaTheme="minorHAnsi" w:hAnsi="Arial" w:cs="Arial"/>
          <w:color w:val="000000"/>
          <w:kern w:val="16"/>
          <w:sz w:val="20"/>
          <w:szCs w:val="20"/>
        </w:rPr>
        <w:t>ğini haiz olmaları ve satış amaçlı olmamaları gerekmektedir.</w:t>
      </w:r>
    </w:p>
    <w:p w:rsidR="00DD04EC" w:rsidRPr="003471B0" w:rsidRDefault="00DD04EC" w:rsidP="003471B0">
      <w:pPr>
        <w:autoSpaceDE/>
        <w:autoSpaceDN/>
        <w:spacing w:line="276" w:lineRule="auto"/>
        <w:ind w:left="170" w:right="170"/>
        <w:jc w:val="both"/>
        <w:rPr>
          <w:rFonts w:ascii="Arial" w:eastAsiaTheme="minorHAnsi" w:hAnsi="Arial" w:cs="Arial"/>
          <w:color w:val="000000"/>
          <w:kern w:val="16"/>
          <w:sz w:val="20"/>
          <w:szCs w:val="20"/>
        </w:rPr>
      </w:pPr>
    </w:p>
    <w:p w:rsidR="00DD04EC" w:rsidRDefault="00C57871" w:rsidP="003471B0">
      <w:pPr>
        <w:autoSpaceDE/>
        <w:autoSpaceDN/>
        <w:spacing w:line="276" w:lineRule="auto"/>
        <w:ind w:left="170" w:right="170"/>
        <w:jc w:val="both"/>
        <w:rPr>
          <w:rFonts w:ascii="Arial" w:eastAsiaTheme="minorHAnsi" w:hAnsi="Arial" w:cs="Arial"/>
          <w:color w:val="000000"/>
          <w:kern w:val="16"/>
          <w:sz w:val="20"/>
          <w:szCs w:val="20"/>
        </w:rPr>
      </w:pPr>
      <w:r w:rsidRPr="003471B0">
        <w:rPr>
          <w:rFonts w:ascii="Arial" w:eastAsiaTheme="minorHAnsi" w:hAnsi="Arial" w:cs="Arial"/>
          <w:color w:val="000000"/>
          <w:kern w:val="16"/>
          <w:sz w:val="20"/>
          <w:szCs w:val="20"/>
        </w:rPr>
        <w:t>Yukarı</w:t>
      </w:r>
      <w:r w:rsidR="001777F3" w:rsidRPr="003471B0">
        <w:rPr>
          <w:rFonts w:ascii="Arial" w:eastAsiaTheme="minorHAnsi" w:hAnsi="Arial" w:cs="Arial"/>
          <w:color w:val="000000"/>
          <w:kern w:val="16"/>
          <w:sz w:val="20"/>
          <w:szCs w:val="20"/>
        </w:rPr>
        <w:t>da yapılan açıklamalar çerçevesinde ülkemizde faaliyet gösteren portföy yönetim ş</w:t>
      </w:r>
      <w:r w:rsidRPr="003471B0">
        <w:rPr>
          <w:rFonts w:ascii="Arial" w:eastAsiaTheme="minorHAnsi" w:hAnsi="Arial" w:cs="Arial"/>
          <w:color w:val="000000"/>
          <w:kern w:val="16"/>
          <w:sz w:val="20"/>
          <w:szCs w:val="20"/>
        </w:rPr>
        <w:t xml:space="preserve">irketleri nezdinde kurulan yatırım fonlarının tüzel </w:t>
      </w:r>
      <w:r w:rsidR="00FA6B7F" w:rsidRPr="003471B0">
        <w:rPr>
          <w:rFonts w:ascii="Arial" w:eastAsiaTheme="minorHAnsi" w:hAnsi="Arial" w:cs="Arial"/>
          <w:color w:val="000000"/>
          <w:kern w:val="16"/>
          <w:sz w:val="20"/>
          <w:szCs w:val="20"/>
        </w:rPr>
        <w:t>kişiliğinin bulunmaması nedeni</w:t>
      </w:r>
      <w:r w:rsidR="001777F3" w:rsidRPr="003471B0">
        <w:rPr>
          <w:rFonts w:ascii="Arial" w:eastAsiaTheme="minorHAnsi" w:hAnsi="Arial" w:cs="Arial"/>
          <w:color w:val="000000"/>
          <w:kern w:val="16"/>
          <w:sz w:val="20"/>
          <w:szCs w:val="20"/>
        </w:rPr>
        <w:t>yle Tebliğ hükümleri doğrultusunda konsolidasyona tabi tutulmasına gerek bulunmamaktadır.</w:t>
      </w:r>
    </w:p>
    <w:p w:rsidR="00233480" w:rsidRDefault="00233480" w:rsidP="003471B0">
      <w:pPr>
        <w:autoSpaceDE/>
        <w:autoSpaceDN/>
        <w:spacing w:line="276" w:lineRule="auto"/>
        <w:ind w:left="170" w:right="170"/>
        <w:jc w:val="both"/>
        <w:rPr>
          <w:rFonts w:ascii="Arial" w:eastAsiaTheme="minorHAnsi" w:hAnsi="Arial" w:cs="Arial"/>
          <w:color w:val="000000"/>
          <w:kern w:val="16"/>
          <w:sz w:val="20"/>
          <w:szCs w:val="20"/>
        </w:rPr>
      </w:pPr>
    </w:p>
    <w:tbl>
      <w:tblPr>
        <w:tblStyle w:val="TabloKlavuzu"/>
        <w:tblpPr w:leftFromText="141" w:rightFromText="141" w:vertAnchor="text" w:horzAnchor="margin" w:tblpXSpec="center" w:tblpY="130"/>
        <w:tblW w:w="0" w:type="auto"/>
        <w:tblInd w:w="0" w:type="dxa"/>
        <w:tblLook w:val="04A0" w:firstRow="1" w:lastRow="0" w:firstColumn="1" w:lastColumn="0" w:noHBand="0" w:noVBand="1"/>
      </w:tblPr>
      <w:tblGrid>
        <w:gridCol w:w="3016"/>
        <w:gridCol w:w="3019"/>
        <w:gridCol w:w="2462"/>
      </w:tblGrid>
      <w:tr w:rsidR="00233480" w:rsidTr="004A69B9">
        <w:trPr>
          <w:trHeight w:val="289"/>
        </w:trPr>
        <w:tc>
          <w:tcPr>
            <w:tcW w:w="8497" w:type="dxa"/>
            <w:gridSpan w:val="3"/>
          </w:tcPr>
          <w:p w:rsidR="00233480" w:rsidRPr="00233480" w:rsidRDefault="00233480" w:rsidP="004A69B9">
            <w:pPr>
              <w:jc w:val="center"/>
              <w:rPr>
                <w:rFonts w:ascii="Arial" w:hAnsi="Arial" w:cs="Arial"/>
                <w:b/>
                <w:sz w:val="20"/>
              </w:rPr>
            </w:pPr>
            <w:r w:rsidRPr="00233480">
              <w:rPr>
                <w:rFonts w:ascii="Arial" w:hAnsi="Arial" w:cs="Arial"/>
                <w:b/>
                <w:sz w:val="20"/>
              </w:rPr>
              <w:t>Sektör Duyurusu’nun</w:t>
            </w:r>
          </w:p>
        </w:tc>
      </w:tr>
      <w:tr w:rsidR="00233480" w:rsidTr="004A69B9">
        <w:trPr>
          <w:trHeight w:val="289"/>
        </w:trPr>
        <w:tc>
          <w:tcPr>
            <w:tcW w:w="3016" w:type="dxa"/>
          </w:tcPr>
          <w:p w:rsidR="00233480" w:rsidRPr="00233480" w:rsidRDefault="00233480" w:rsidP="004A69B9">
            <w:pPr>
              <w:jc w:val="center"/>
              <w:rPr>
                <w:rFonts w:ascii="Arial" w:hAnsi="Arial" w:cs="Arial"/>
                <w:b/>
                <w:sz w:val="20"/>
              </w:rPr>
            </w:pPr>
            <w:r w:rsidRPr="00233480">
              <w:rPr>
                <w:rFonts w:ascii="Arial" w:hAnsi="Arial" w:cs="Arial"/>
                <w:b/>
                <w:sz w:val="20"/>
              </w:rPr>
              <w:t>Numarası</w:t>
            </w:r>
          </w:p>
        </w:tc>
        <w:tc>
          <w:tcPr>
            <w:tcW w:w="3019" w:type="dxa"/>
          </w:tcPr>
          <w:p w:rsidR="00233480" w:rsidRPr="00233480" w:rsidRDefault="00233480" w:rsidP="004A69B9">
            <w:pPr>
              <w:jc w:val="center"/>
              <w:rPr>
                <w:rFonts w:ascii="Arial" w:hAnsi="Arial" w:cs="Arial"/>
                <w:b/>
                <w:sz w:val="20"/>
              </w:rPr>
            </w:pPr>
            <w:r w:rsidRPr="00233480">
              <w:rPr>
                <w:rFonts w:ascii="Arial" w:hAnsi="Arial" w:cs="Arial"/>
                <w:b/>
                <w:sz w:val="20"/>
              </w:rPr>
              <w:t>Kabul Tarihi</w:t>
            </w:r>
          </w:p>
        </w:tc>
        <w:tc>
          <w:tcPr>
            <w:tcW w:w="2462" w:type="dxa"/>
          </w:tcPr>
          <w:p w:rsidR="00233480" w:rsidRPr="00233480" w:rsidRDefault="00233480" w:rsidP="004A69B9">
            <w:pPr>
              <w:jc w:val="center"/>
              <w:rPr>
                <w:rFonts w:ascii="Arial" w:hAnsi="Arial" w:cs="Arial"/>
                <w:b/>
                <w:sz w:val="20"/>
              </w:rPr>
            </w:pPr>
            <w:r w:rsidRPr="00233480">
              <w:rPr>
                <w:rFonts w:ascii="Arial" w:hAnsi="Arial" w:cs="Arial"/>
                <w:b/>
                <w:sz w:val="20"/>
              </w:rPr>
              <w:t>Yürürlüğe Giriş Tarihi</w:t>
            </w:r>
          </w:p>
        </w:tc>
      </w:tr>
      <w:tr w:rsidR="00233480" w:rsidTr="004A69B9">
        <w:trPr>
          <w:trHeight w:val="289"/>
        </w:trPr>
        <w:tc>
          <w:tcPr>
            <w:tcW w:w="3016" w:type="dxa"/>
          </w:tcPr>
          <w:p w:rsidR="00233480" w:rsidRPr="00233480" w:rsidRDefault="00233480" w:rsidP="004A69B9">
            <w:pPr>
              <w:jc w:val="center"/>
              <w:rPr>
                <w:rFonts w:ascii="Arial" w:hAnsi="Arial" w:cs="Arial"/>
                <w:sz w:val="20"/>
              </w:rPr>
            </w:pPr>
            <w:r w:rsidRPr="00233480">
              <w:rPr>
                <w:rFonts w:ascii="Arial" w:hAnsi="Arial" w:cs="Arial"/>
                <w:sz w:val="20"/>
              </w:rPr>
              <w:t>202</w:t>
            </w:r>
            <w:r w:rsidRPr="00233480">
              <w:rPr>
                <w:rFonts w:ascii="Arial" w:hAnsi="Arial" w:cs="Arial"/>
                <w:sz w:val="20"/>
              </w:rPr>
              <w:t>2</w:t>
            </w:r>
            <w:r w:rsidRPr="00233480">
              <w:rPr>
                <w:rFonts w:ascii="Arial" w:hAnsi="Arial" w:cs="Arial"/>
                <w:sz w:val="20"/>
              </w:rPr>
              <w:t>/</w:t>
            </w:r>
            <w:r w:rsidRPr="00233480">
              <w:rPr>
                <w:rFonts w:ascii="Arial" w:hAnsi="Arial" w:cs="Arial"/>
                <w:sz w:val="20"/>
              </w:rPr>
              <w:t>14</w:t>
            </w:r>
          </w:p>
        </w:tc>
        <w:tc>
          <w:tcPr>
            <w:tcW w:w="3019" w:type="dxa"/>
          </w:tcPr>
          <w:p w:rsidR="00233480" w:rsidRPr="00233480" w:rsidRDefault="00233480" w:rsidP="004A69B9">
            <w:pPr>
              <w:jc w:val="center"/>
              <w:rPr>
                <w:rFonts w:ascii="Arial" w:hAnsi="Arial" w:cs="Arial"/>
                <w:sz w:val="20"/>
              </w:rPr>
            </w:pPr>
            <w:r w:rsidRPr="00233480">
              <w:rPr>
                <w:rFonts w:ascii="Arial" w:hAnsi="Arial" w:cs="Arial"/>
                <w:sz w:val="20"/>
              </w:rPr>
              <w:t>23.12.2022</w:t>
            </w:r>
          </w:p>
        </w:tc>
        <w:tc>
          <w:tcPr>
            <w:tcW w:w="2462" w:type="dxa"/>
          </w:tcPr>
          <w:p w:rsidR="00233480" w:rsidRPr="00233480" w:rsidRDefault="00233480" w:rsidP="004A69B9">
            <w:pPr>
              <w:jc w:val="center"/>
              <w:rPr>
                <w:rFonts w:ascii="Arial" w:hAnsi="Arial" w:cs="Arial"/>
                <w:sz w:val="20"/>
              </w:rPr>
            </w:pPr>
            <w:r w:rsidRPr="00233480">
              <w:rPr>
                <w:rFonts w:ascii="Arial" w:hAnsi="Arial" w:cs="Arial"/>
                <w:sz w:val="20"/>
              </w:rPr>
              <w:t>23.12.2022</w:t>
            </w:r>
          </w:p>
        </w:tc>
      </w:tr>
    </w:tbl>
    <w:p w:rsidR="00233480" w:rsidRPr="003471B0" w:rsidRDefault="00233480" w:rsidP="003471B0">
      <w:pPr>
        <w:autoSpaceDE/>
        <w:autoSpaceDN/>
        <w:spacing w:line="276" w:lineRule="auto"/>
        <w:ind w:left="170" w:right="170"/>
        <w:jc w:val="both"/>
        <w:rPr>
          <w:rFonts w:ascii="Arial" w:eastAsiaTheme="minorHAnsi" w:hAnsi="Arial" w:cs="Arial"/>
          <w:color w:val="000000"/>
          <w:kern w:val="16"/>
          <w:sz w:val="20"/>
          <w:szCs w:val="20"/>
        </w:rPr>
      </w:pPr>
    </w:p>
    <w:sectPr w:rsidR="00233480" w:rsidRPr="003471B0">
      <w:headerReference w:type="even" r:id="rId8"/>
      <w:headerReference w:type="default" r:id="rId9"/>
      <w:footerReference w:type="even" r:id="rId10"/>
      <w:footerReference w:type="default" r:id="rId11"/>
      <w:headerReference w:type="first" r:id="rId12"/>
      <w:footerReference w:type="first" r:id="rId13"/>
      <w:pgSz w:w="11920" w:h="16840"/>
      <w:pgMar w:top="1620" w:right="1060" w:bottom="28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6C1" w:rsidRDefault="000826C1" w:rsidP="00B274CC">
      <w:r>
        <w:separator/>
      </w:r>
    </w:p>
  </w:endnote>
  <w:endnote w:type="continuationSeparator" w:id="0">
    <w:p w:rsidR="000826C1" w:rsidRDefault="000826C1" w:rsidP="00B2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4CC" w:rsidRPr="00233480" w:rsidRDefault="00233480" w:rsidP="00233480">
    <w:pPr>
      <w:pStyle w:val="AltBilgi"/>
    </w:pPr>
    <w:r>
      <w:rPr>
        <w:rFonts w:ascii="Arial" w:hAnsi="Arial" w:cs="Arial"/>
        <w:sz w:val="20"/>
        <w:szCs w:val="20"/>
        <w:lang w:eastAsia="tr-TR"/>
      </w:rPr>
      <w:fldChar w:fldCharType="begin" w:fldLock="1"/>
    </w:r>
    <w:r>
      <w:rPr>
        <w:rFonts w:ascii="Arial" w:hAnsi="Arial" w:cs="Arial"/>
        <w:sz w:val="20"/>
        <w:szCs w:val="20"/>
        <w:lang w:eastAsia="tr-TR"/>
      </w:rPr>
      <w:instrText xml:space="preserve"> DOCPROPERTY bjFooterEvenPageDocProperty \* MERGEFORMAT </w:instrText>
    </w:r>
    <w:r>
      <w:rPr>
        <w:rFonts w:ascii="Arial" w:hAnsi="Arial" w:cs="Arial"/>
        <w:sz w:val="20"/>
        <w:szCs w:val="20"/>
        <w:lang w:eastAsia="tr-TR"/>
      </w:rPr>
      <w:fldChar w:fldCharType="separate"/>
    </w:r>
    <w:r w:rsidRPr="00085C4F">
      <w:rPr>
        <w:rFonts w:ascii="Malgun Gothic" w:eastAsia="Malgun Gothic" w:hAnsi="Malgun Gothic" w:cs="Arial"/>
        <w:b/>
        <w:color w:val="999999"/>
        <w:sz w:val="20"/>
        <w:szCs w:val="20"/>
        <w:lang w:eastAsia="tr-TR"/>
      </w:rPr>
      <w:t>Sınıflandırma|</w:t>
    </w:r>
    <w:r w:rsidRPr="00085C4F">
      <w:rPr>
        <w:rFonts w:ascii="Malgun Gothic" w:eastAsia="Malgun Gothic" w:hAnsi="Malgun Gothic" w:cs="Arial"/>
        <w:b/>
        <w:color w:val="339966"/>
        <w:sz w:val="20"/>
        <w:szCs w:val="20"/>
        <w:lang w:eastAsia="tr-TR"/>
      </w:rPr>
      <w:t>Genel</w:t>
    </w:r>
    <w:r>
      <w:rPr>
        <w:rFonts w:ascii="Arial" w:hAnsi="Arial" w:cs="Arial"/>
        <w:sz w:val="20"/>
        <w:szCs w:val="20"/>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4CC" w:rsidRPr="00233480" w:rsidRDefault="00233480" w:rsidP="00233480">
    <w:pPr>
      <w:pStyle w:val="AltBilgi"/>
    </w:pPr>
    <w:r>
      <w:rPr>
        <w:rFonts w:ascii="Arial" w:hAnsi="Arial" w:cs="Arial"/>
        <w:sz w:val="20"/>
        <w:szCs w:val="20"/>
        <w:lang w:eastAsia="tr-TR"/>
      </w:rPr>
      <w:fldChar w:fldCharType="begin" w:fldLock="1"/>
    </w:r>
    <w:r>
      <w:rPr>
        <w:rFonts w:ascii="Arial" w:hAnsi="Arial" w:cs="Arial"/>
        <w:sz w:val="20"/>
        <w:szCs w:val="20"/>
        <w:lang w:eastAsia="tr-TR"/>
      </w:rPr>
      <w:instrText xml:space="preserve"> DOCPROPERTY bjFooterBothDocProperty \* MERGEFORMAT </w:instrText>
    </w:r>
    <w:r>
      <w:rPr>
        <w:rFonts w:ascii="Arial" w:hAnsi="Arial" w:cs="Arial"/>
        <w:sz w:val="20"/>
        <w:szCs w:val="20"/>
        <w:lang w:eastAsia="tr-TR"/>
      </w:rPr>
      <w:fldChar w:fldCharType="separate"/>
    </w:r>
    <w:r w:rsidRPr="00085C4F">
      <w:rPr>
        <w:rFonts w:ascii="Malgun Gothic" w:eastAsia="Malgun Gothic" w:hAnsi="Malgun Gothic" w:cs="Arial"/>
        <w:b/>
        <w:color w:val="999999"/>
        <w:sz w:val="20"/>
        <w:szCs w:val="20"/>
        <w:lang w:eastAsia="tr-TR"/>
      </w:rPr>
      <w:t>Sınıflandırma|</w:t>
    </w:r>
    <w:r w:rsidRPr="00085C4F">
      <w:rPr>
        <w:rFonts w:ascii="Malgun Gothic" w:eastAsia="Malgun Gothic" w:hAnsi="Malgun Gothic" w:cs="Arial"/>
        <w:b/>
        <w:color w:val="339966"/>
        <w:sz w:val="20"/>
        <w:szCs w:val="20"/>
        <w:lang w:eastAsia="tr-TR"/>
      </w:rPr>
      <w:t>Genel</w:t>
    </w:r>
    <w:r>
      <w:rPr>
        <w:rFonts w:ascii="Arial" w:hAnsi="Arial" w:cs="Arial"/>
        <w:sz w:val="20"/>
        <w:szCs w:val="20"/>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4CC" w:rsidRPr="00233480" w:rsidRDefault="00233480" w:rsidP="00233480">
    <w:pPr>
      <w:pStyle w:val="AltBilgi"/>
    </w:pPr>
    <w:r>
      <w:rPr>
        <w:rFonts w:ascii="Arial" w:hAnsi="Arial" w:cs="Arial"/>
        <w:sz w:val="20"/>
        <w:szCs w:val="20"/>
        <w:lang w:eastAsia="tr-TR"/>
      </w:rPr>
      <w:fldChar w:fldCharType="begin" w:fldLock="1"/>
    </w:r>
    <w:r>
      <w:rPr>
        <w:rFonts w:ascii="Arial" w:hAnsi="Arial" w:cs="Arial"/>
        <w:sz w:val="20"/>
        <w:szCs w:val="20"/>
        <w:lang w:eastAsia="tr-TR"/>
      </w:rPr>
      <w:instrText xml:space="preserve"> DOCPROPERTY bjFooterFirstPageDocProperty \* MERGEFORMAT </w:instrText>
    </w:r>
    <w:r>
      <w:rPr>
        <w:rFonts w:ascii="Arial" w:hAnsi="Arial" w:cs="Arial"/>
        <w:sz w:val="20"/>
        <w:szCs w:val="20"/>
        <w:lang w:eastAsia="tr-TR"/>
      </w:rPr>
      <w:fldChar w:fldCharType="separate"/>
    </w:r>
    <w:r w:rsidRPr="00085C4F">
      <w:rPr>
        <w:rFonts w:ascii="Malgun Gothic" w:eastAsia="Malgun Gothic" w:hAnsi="Malgun Gothic" w:cs="Arial"/>
        <w:b/>
        <w:color w:val="999999"/>
        <w:sz w:val="20"/>
        <w:szCs w:val="20"/>
        <w:lang w:eastAsia="tr-TR"/>
      </w:rPr>
      <w:t>Sınıflandırma|</w:t>
    </w:r>
    <w:r w:rsidRPr="00085C4F">
      <w:rPr>
        <w:rFonts w:ascii="Malgun Gothic" w:eastAsia="Malgun Gothic" w:hAnsi="Malgun Gothic" w:cs="Arial"/>
        <w:b/>
        <w:color w:val="339966"/>
        <w:sz w:val="20"/>
        <w:szCs w:val="20"/>
        <w:lang w:eastAsia="tr-TR"/>
      </w:rPr>
      <w:t>Genel</w:t>
    </w:r>
    <w:r>
      <w:rPr>
        <w:rFonts w:ascii="Arial" w:hAnsi="Arial" w:cs="Arial"/>
        <w:sz w:val="20"/>
        <w:szCs w:val="20"/>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6C1" w:rsidRDefault="000826C1" w:rsidP="00B274CC">
      <w:r>
        <w:separator/>
      </w:r>
    </w:p>
  </w:footnote>
  <w:footnote w:type="continuationSeparator" w:id="0">
    <w:p w:rsidR="000826C1" w:rsidRDefault="000826C1" w:rsidP="00B27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4CC" w:rsidRDefault="00B274C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4CC" w:rsidRDefault="00B274C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4CC" w:rsidRDefault="00B274C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531D77"/>
    <w:multiLevelType w:val="hybridMultilevel"/>
    <w:tmpl w:val="4524D4FA"/>
    <w:lvl w:ilvl="0" w:tplc="F7D8C23E">
      <w:numFmt w:val="bullet"/>
      <w:lvlText w:val="•"/>
      <w:lvlJc w:val="left"/>
      <w:pPr>
        <w:ind w:left="158" w:hanging="110"/>
      </w:pPr>
      <w:rPr>
        <w:rFonts w:ascii="Arial" w:eastAsia="Arial" w:hAnsi="Arial" w:cs="Arial" w:hint="default"/>
        <w:b w:val="0"/>
        <w:bCs w:val="0"/>
        <w:i w:val="0"/>
        <w:iCs w:val="0"/>
        <w:color w:val="16181C"/>
        <w:w w:val="103"/>
        <w:sz w:val="17"/>
        <w:szCs w:val="17"/>
        <w:lang w:val="tr-TR" w:eastAsia="en-US" w:bidi="ar-SA"/>
      </w:rPr>
    </w:lvl>
    <w:lvl w:ilvl="1" w:tplc="568229C2">
      <w:numFmt w:val="bullet"/>
      <w:lvlText w:val="•"/>
      <w:lvlJc w:val="left"/>
      <w:pPr>
        <w:ind w:left="220" w:hanging="110"/>
      </w:pPr>
      <w:rPr>
        <w:rFonts w:hint="default"/>
        <w:lang w:val="tr-TR" w:eastAsia="en-US" w:bidi="ar-SA"/>
      </w:rPr>
    </w:lvl>
    <w:lvl w:ilvl="2" w:tplc="49C68488">
      <w:numFmt w:val="bullet"/>
      <w:lvlText w:val="•"/>
      <w:lvlJc w:val="left"/>
      <w:pPr>
        <w:ind w:left="280" w:hanging="110"/>
      </w:pPr>
      <w:rPr>
        <w:rFonts w:hint="default"/>
        <w:lang w:val="tr-TR" w:eastAsia="en-US" w:bidi="ar-SA"/>
      </w:rPr>
    </w:lvl>
    <w:lvl w:ilvl="3" w:tplc="DE8404E2">
      <w:numFmt w:val="bullet"/>
      <w:lvlText w:val="•"/>
      <w:lvlJc w:val="left"/>
      <w:pPr>
        <w:ind w:left="340" w:hanging="110"/>
      </w:pPr>
      <w:rPr>
        <w:rFonts w:hint="default"/>
        <w:lang w:val="tr-TR" w:eastAsia="en-US" w:bidi="ar-SA"/>
      </w:rPr>
    </w:lvl>
    <w:lvl w:ilvl="4" w:tplc="C08AEFCE">
      <w:numFmt w:val="bullet"/>
      <w:lvlText w:val="•"/>
      <w:lvlJc w:val="left"/>
      <w:pPr>
        <w:ind w:left="400" w:hanging="110"/>
      </w:pPr>
      <w:rPr>
        <w:rFonts w:hint="default"/>
        <w:lang w:val="tr-TR" w:eastAsia="en-US" w:bidi="ar-SA"/>
      </w:rPr>
    </w:lvl>
    <w:lvl w:ilvl="5" w:tplc="48A44608">
      <w:numFmt w:val="bullet"/>
      <w:lvlText w:val="•"/>
      <w:lvlJc w:val="left"/>
      <w:pPr>
        <w:ind w:left="460" w:hanging="110"/>
      </w:pPr>
      <w:rPr>
        <w:rFonts w:hint="default"/>
        <w:lang w:val="tr-TR" w:eastAsia="en-US" w:bidi="ar-SA"/>
      </w:rPr>
    </w:lvl>
    <w:lvl w:ilvl="6" w:tplc="349E0F46">
      <w:numFmt w:val="bullet"/>
      <w:lvlText w:val="•"/>
      <w:lvlJc w:val="left"/>
      <w:pPr>
        <w:ind w:left="520" w:hanging="110"/>
      </w:pPr>
      <w:rPr>
        <w:rFonts w:hint="default"/>
        <w:lang w:val="tr-TR" w:eastAsia="en-US" w:bidi="ar-SA"/>
      </w:rPr>
    </w:lvl>
    <w:lvl w:ilvl="7" w:tplc="5FDC18EA">
      <w:numFmt w:val="bullet"/>
      <w:lvlText w:val="•"/>
      <w:lvlJc w:val="left"/>
      <w:pPr>
        <w:ind w:left="580" w:hanging="110"/>
      </w:pPr>
      <w:rPr>
        <w:rFonts w:hint="default"/>
        <w:lang w:val="tr-TR" w:eastAsia="en-US" w:bidi="ar-SA"/>
      </w:rPr>
    </w:lvl>
    <w:lvl w:ilvl="8" w:tplc="15E8B37E">
      <w:numFmt w:val="bullet"/>
      <w:lvlText w:val="•"/>
      <w:lvlJc w:val="left"/>
      <w:pPr>
        <w:ind w:left="640" w:hanging="11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4EC"/>
    <w:rsid w:val="000826C1"/>
    <w:rsid w:val="001777F3"/>
    <w:rsid w:val="001A486C"/>
    <w:rsid w:val="00233480"/>
    <w:rsid w:val="003471B0"/>
    <w:rsid w:val="003A582D"/>
    <w:rsid w:val="005C524B"/>
    <w:rsid w:val="008E6EBF"/>
    <w:rsid w:val="00B274CC"/>
    <w:rsid w:val="00BF2CD5"/>
    <w:rsid w:val="00C57871"/>
    <w:rsid w:val="00DD04EC"/>
    <w:rsid w:val="00F973DA"/>
    <w:rsid w:val="00FA6B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C49B2F"/>
  <w15:docId w15:val="{CA7DC712-0791-4770-8397-952A95D7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2">
    <w:name w:val="heading 2"/>
    <w:basedOn w:val="Normal"/>
    <w:next w:val="Normal"/>
    <w:link w:val="Balk2Char"/>
    <w:uiPriority w:val="9"/>
    <w:unhideWhenUsed/>
    <w:qFormat/>
    <w:rsid w:val="00233480"/>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1"/>
      <w:szCs w:val="21"/>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B274CC"/>
    <w:pPr>
      <w:tabs>
        <w:tab w:val="center" w:pos="4536"/>
        <w:tab w:val="right" w:pos="9072"/>
      </w:tabs>
    </w:pPr>
  </w:style>
  <w:style w:type="character" w:customStyle="1" w:styleId="stBilgiChar">
    <w:name w:val="Üst Bilgi Char"/>
    <w:basedOn w:val="VarsaylanParagrafYazTipi"/>
    <w:link w:val="stBilgi"/>
    <w:uiPriority w:val="99"/>
    <w:rsid w:val="00B274CC"/>
    <w:rPr>
      <w:rFonts w:ascii="Times New Roman" w:eastAsia="Times New Roman" w:hAnsi="Times New Roman" w:cs="Times New Roman"/>
      <w:lang w:val="tr-TR"/>
    </w:rPr>
  </w:style>
  <w:style w:type="paragraph" w:styleId="AltBilgi">
    <w:name w:val="footer"/>
    <w:basedOn w:val="Normal"/>
    <w:link w:val="AltBilgiChar"/>
    <w:uiPriority w:val="99"/>
    <w:unhideWhenUsed/>
    <w:rsid w:val="00B274CC"/>
    <w:pPr>
      <w:tabs>
        <w:tab w:val="center" w:pos="4536"/>
        <w:tab w:val="right" w:pos="9072"/>
      </w:tabs>
    </w:pPr>
  </w:style>
  <w:style w:type="character" w:customStyle="1" w:styleId="AltBilgiChar">
    <w:name w:val="Alt Bilgi Char"/>
    <w:basedOn w:val="VarsaylanParagrafYazTipi"/>
    <w:link w:val="AltBilgi"/>
    <w:uiPriority w:val="99"/>
    <w:rsid w:val="00B274CC"/>
    <w:rPr>
      <w:rFonts w:ascii="Times New Roman" w:eastAsia="Times New Roman" w:hAnsi="Times New Roman" w:cs="Times New Roman"/>
      <w:lang w:val="tr-TR"/>
    </w:rPr>
  </w:style>
  <w:style w:type="character" w:customStyle="1" w:styleId="Balk2Char">
    <w:name w:val="Başlık 2 Char"/>
    <w:basedOn w:val="VarsaylanParagrafYazTipi"/>
    <w:link w:val="Balk2"/>
    <w:uiPriority w:val="9"/>
    <w:rsid w:val="00233480"/>
    <w:rPr>
      <w:rFonts w:asciiTheme="majorHAnsi" w:eastAsiaTheme="majorEastAsia" w:hAnsiTheme="majorHAnsi" w:cstheme="majorBidi"/>
      <w:color w:val="365F91" w:themeColor="accent1" w:themeShade="BF"/>
      <w:sz w:val="26"/>
      <w:szCs w:val="26"/>
      <w:lang w:val="tr-TR"/>
    </w:rPr>
  </w:style>
  <w:style w:type="character" w:customStyle="1" w:styleId="document-info-label">
    <w:name w:val="document-info-label"/>
    <w:rsid w:val="00233480"/>
  </w:style>
  <w:style w:type="table" w:styleId="TabloKlavuzu">
    <w:name w:val="Table Grid"/>
    <w:basedOn w:val="NormalTablo"/>
    <w:uiPriority w:val="59"/>
    <w:rsid w:val="00233480"/>
    <w:pPr>
      <w:widowControl/>
      <w:autoSpaceDE/>
      <w:autoSpaceDN/>
    </w:pPr>
    <w:rPr>
      <w:rFonts w:ascii="Arial" w:eastAsia="Times New Roman" w:hAnsi="Arial" w:cs="Arial"/>
      <w:szCs w:val="20"/>
      <w:lang w:val="tr-TR"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BA98BB5A-FF5F-469C-980E-68D5F76DB21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474</Words>
  <Characters>2703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Türkiye Sigorta Reasürans ve Emeklilik Şirketleri Birliği</vt:lpstr>
    </vt:vector>
  </TitlesOfParts>
  <Company>EGM</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 Sigorta Reasürans ve Emeklilik Şirketleri Birliği</dc:title>
  <dc:creator>Seren SAKAOĞLU</dc:creator>
  <cp:lastModifiedBy>Bahattin ÖZKAN</cp:lastModifiedBy>
  <cp:revision>3</cp:revision>
  <dcterms:created xsi:type="dcterms:W3CDTF">2023-02-17T09:15:00Z</dcterms:created>
  <dcterms:modified xsi:type="dcterms:W3CDTF">2023-02-17T09:19:00Z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2022-12-27T00:00:00Z</vt:filetime>
  </property>
  <property fmtid="{D5CDD505-2E9C-101B-9397-08002B2CF9AE}" pid="3" name="Creator">
    <vt:lpwstr>Aspose Ltd.</vt:lpwstr>
  </property>
  <property fmtid="{D5CDD505-2E9C-101B-9397-08002B2CF9AE}" pid="4" name="LastSaved">
    <vt:filetime>2022-12-28T00:00:00Z</vt:filetime>
  </property>
  <property fmtid="{D5CDD505-2E9C-101B-9397-08002B2CF9AE}" pid="5" name="Producer">
    <vt:lpwstr>Aspose.PDF for .NET 21.4.0</vt:lpwstr>
  </property>
  <property fmtid="{D5CDD505-2E9C-101B-9397-08002B2CF9AE}" pid="6" name="docIndexRef">
    <vt:lpwstr>a105ddf5-ca91-489e-99e1-9fd5ee13f9c9</vt:lpwstr>
  </property>
  <property fmtid="{D5CDD505-2E9C-101B-9397-08002B2CF9AE}" pid="7" name="bjSaver">
    <vt:lpwstr>HLvm0QIY5oOAk++36evuxaw38xTdytxi</vt:lpwstr>
  </property>
  <property fmtid="{D5CDD505-2E9C-101B-9397-08002B2CF9AE}" pid="8"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9" name="bjDocumentLabelXML-0">
    <vt:lpwstr>ames.com/2008/01/sie/internal/label"&gt;&lt;element uid="16f479a6-fc80-474c-ab11-d67f073bb2c9" value="" /&gt;&lt;/sisl&gt;</vt:lpwstr>
  </property>
  <property fmtid="{D5CDD505-2E9C-101B-9397-08002B2CF9AE}" pid="10" name="bjDocumentSecurityLabel">
    <vt:lpwstr>Bu iletinin sınıflandırması Genel</vt:lpwstr>
  </property>
  <property fmtid="{D5CDD505-2E9C-101B-9397-08002B2CF9AE}" pid="11" name="bjClsUserRVM">
    <vt:lpwstr>[]</vt:lpwstr>
  </property>
  <property fmtid="{D5CDD505-2E9C-101B-9397-08002B2CF9AE}" pid="12" name="bjFooterBothDocProperty">
    <vt:lpwstr>Sınıflandırma|Genel</vt:lpwstr>
  </property>
  <property fmtid="{D5CDD505-2E9C-101B-9397-08002B2CF9AE}" pid="13" name="bjFooterFirstPageDocProperty">
    <vt:lpwstr>Sınıflandırma|Genel</vt:lpwstr>
  </property>
  <property fmtid="{D5CDD505-2E9C-101B-9397-08002B2CF9AE}" pid="14" name="bjFooterEvenPageDocProperty">
    <vt:lpwstr>Sınıflandırma|Genel</vt:lpwstr>
  </property>
</Properties>
</file>