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9EFC7" w14:textId="77777777" w:rsidR="00786A12" w:rsidRPr="001854E8" w:rsidRDefault="00786A12" w:rsidP="00786A12">
      <w:pPr>
        <w:pStyle w:val="baslk"/>
        <w:spacing w:before="0" w:beforeAutospacing="0" w:after="0" w:afterAutospacing="0" w:line="264" w:lineRule="atLeast"/>
        <w:jc w:val="center"/>
        <w:rPr>
          <w:rFonts w:ascii="Arial" w:hAnsi="Arial" w:cs="Arial"/>
          <w:b/>
          <w:bCs/>
          <w:color w:val="000000"/>
          <w:sz w:val="20"/>
          <w:szCs w:val="20"/>
        </w:rPr>
      </w:pPr>
    </w:p>
    <w:p w14:paraId="2F7063C9" w14:textId="77777777" w:rsidR="00786A12" w:rsidRDefault="00786A12" w:rsidP="00786A12">
      <w:pPr>
        <w:tabs>
          <w:tab w:val="left" w:pos="1418"/>
          <w:tab w:val="left" w:pos="3969"/>
        </w:tabs>
        <w:spacing w:line="259" w:lineRule="auto"/>
        <w:jc w:val="left"/>
        <w:rPr>
          <w:bCs/>
        </w:rPr>
      </w:pPr>
      <w:r>
        <w:rPr>
          <w:b/>
          <w:bCs/>
        </w:rPr>
        <w:t>Kanun No</w:t>
      </w:r>
      <w:r>
        <w:rPr>
          <w:b/>
          <w:bCs/>
        </w:rPr>
        <w:tab/>
        <w:t>:</w:t>
      </w:r>
      <w:r w:rsidRPr="001854E8">
        <w:rPr>
          <w:bCs/>
        </w:rPr>
        <w:t xml:space="preserve"> </w:t>
      </w:r>
      <w:r w:rsidRPr="005A4197">
        <w:rPr>
          <w:bCs/>
        </w:rPr>
        <w:t>3065</w:t>
      </w:r>
      <w:r>
        <w:rPr>
          <w:bCs/>
        </w:rPr>
        <w:tab/>
      </w:r>
      <w:r>
        <w:rPr>
          <w:bCs/>
        </w:rPr>
        <w:tab/>
        <w:t xml:space="preserve">    </w:t>
      </w:r>
      <w:r>
        <w:rPr>
          <w:bCs/>
        </w:rPr>
        <w:tab/>
        <w:t xml:space="preserve"> </w:t>
      </w:r>
      <w:r>
        <w:rPr>
          <w:b/>
          <w:bCs/>
        </w:rPr>
        <w:t>Resmi Gazete No</w:t>
      </w:r>
      <w:r>
        <w:rPr>
          <w:b/>
          <w:bCs/>
        </w:rPr>
        <w:tab/>
        <w:t>:</w:t>
      </w:r>
      <w:r>
        <w:rPr>
          <w:bCs/>
        </w:rPr>
        <w:t xml:space="preserve"> </w:t>
      </w:r>
      <w:r w:rsidRPr="005A4197">
        <w:rPr>
          <w:bCs/>
        </w:rPr>
        <w:t>18563</w:t>
      </w:r>
    </w:p>
    <w:p w14:paraId="05B0DC3B" w14:textId="77777777" w:rsidR="00786A12" w:rsidRDefault="00786A12" w:rsidP="00786A12">
      <w:pPr>
        <w:widowControl w:val="0"/>
        <w:tabs>
          <w:tab w:val="left" w:pos="1260"/>
          <w:tab w:val="left" w:pos="1418"/>
          <w:tab w:val="left" w:pos="3969"/>
        </w:tabs>
        <w:ind w:right="170"/>
        <w:rPr>
          <w:bCs/>
        </w:rPr>
      </w:pPr>
      <w:r>
        <w:rPr>
          <w:b/>
          <w:bCs/>
        </w:rPr>
        <w:t>Kabul Tarihi</w:t>
      </w:r>
      <w:r>
        <w:rPr>
          <w:b/>
          <w:bCs/>
        </w:rPr>
        <w:tab/>
      </w:r>
      <w:r>
        <w:rPr>
          <w:b/>
          <w:bCs/>
        </w:rPr>
        <w:tab/>
        <w:t xml:space="preserve">: </w:t>
      </w:r>
      <w:r w:rsidRPr="005A4197">
        <w:rPr>
          <w:bCs/>
        </w:rPr>
        <w:t>25</w:t>
      </w:r>
      <w:r>
        <w:rPr>
          <w:bCs/>
        </w:rPr>
        <w:t>.</w:t>
      </w:r>
      <w:r w:rsidRPr="005A4197">
        <w:rPr>
          <w:bCs/>
        </w:rPr>
        <w:t>10</w:t>
      </w:r>
      <w:r>
        <w:rPr>
          <w:bCs/>
        </w:rPr>
        <w:t>.1984</w:t>
      </w:r>
      <w:r>
        <w:rPr>
          <w:bCs/>
        </w:rPr>
        <w:tab/>
        <w:t xml:space="preserve">      </w:t>
      </w:r>
      <w:r>
        <w:rPr>
          <w:bCs/>
        </w:rPr>
        <w:tab/>
        <w:t xml:space="preserve"> </w:t>
      </w:r>
      <w:r>
        <w:rPr>
          <w:b/>
          <w:bCs/>
        </w:rPr>
        <w:t>Resmi Gazete Tarihi</w:t>
      </w:r>
      <w:r>
        <w:rPr>
          <w:b/>
          <w:bCs/>
        </w:rPr>
        <w:tab/>
        <w:t>:</w:t>
      </w:r>
      <w:r>
        <w:rPr>
          <w:bCs/>
        </w:rPr>
        <w:t xml:space="preserve"> 0</w:t>
      </w:r>
      <w:r w:rsidRPr="005A4197">
        <w:rPr>
          <w:bCs/>
        </w:rPr>
        <w:t>2</w:t>
      </w:r>
      <w:r>
        <w:rPr>
          <w:bCs/>
        </w:rPr>
        <w:t>.</w:t>
      </w:r>
      <w:r w:rsidRPr="005A4197">
        <w:rPr>
          <w:bCs/>
        </w:rPr>
        <w:t>11</w:t>
      </w:r>
      <w:r>
        <w:rPr>
          <w:bCs/>
        </w:rPr>
        <w:t>.</w:t>
      </w:r>
      <w:r w:rsidRPr="005A4197">
        <w:rPr>
          <w:bCs/>
        </w:rPr>
        <w:t xml:space="preserve">1984          </w:t>
      </w:r>
    </w:p>
    <w:p w14:paraId="6CFD7E7A" w14:textId="77777777" w:rsidR="00786A12" w:rsidRDefault="00786A12" w:rsidP="00786A12">
      <w:pPr>
        <w:widowControl w:val="0"/>
        <w:tabs>
          <w:tab w:val="left" w:pos="1260"/>
          <w:tab w:val="left" w:pos="1418"/>
          <w:tab w:val="left" w:pos="3969"/>
        </w:tabs>
        <w:ind w:right="170"/>
        <w:rPr>
          <w:bCs/>
        </w:rPr>
      </w:pPr>
      <w:r w:rsidRPr="001A4119">
        <w:rPr>
          <w:rFonts w:ascii="Times New Roman" w:eastAsia="Times New Roman" w:hAnsi="Times New Roman" w:cs="Times New Roman"/>
          <w:b/>
          <w:bCs/>
          <w:kern w:val="0"/>
          <w:sz w:val="24"/>
          <w:szCs w:val="24"/>
          <w:lang w:eastAsia="tr-TR"/>
        </w:rPr>
        <w:t xml:space="preserve">   </w:t>
      </w:r>
    </w:p>
    <w:p w14:paraId="53E9ED41" w14:textId="77777777" w:rsidR="00786A12" w:rsidRPr="001854E8" w:rsidRDefault="00786A12" w:rsidP="00786A12">
      <w:pPr>
        <w:pStyle w:val="baslk"/>
        <w:spacing w:before="0" w:beforeAutospacing="0" w:after="0" w:afterAutospacing="0" w:line="264" w:lineRule="atLeast"/>
        <w:jc w:val="center"/>
        <w:rPr>
          <w:rFonts w:ascii="Arial" w:hAnsi="Arial" w:cs="Arial"/>
          <w:b/>
          <w:bCs/>
          <w:color w:val="000000"/>
          <w:sz w:val="20"/>
          <w:szCs w:val="20"/>
        </w:rPr>
      </w:pPr>
    </w:p>
    <w:p w14:paraId="503FB5D9" w14:textId="77777777" w:rsidR="00786A12" w:rsidRDefault="00786A12" w:rsidP="00786A12">
      <w:pPr>
        <w:pStyle w:val="Balk2"/>
      </w:pPr>
      <w:bookmarkStart w:id="0" w:name="_GoBack"/>
      <w:bookmarkEnd w:id="0"/>
      <w:r w:rsidRPr="005A4197">
        <w:t>KATMA DEĞER VERGİSİ KANUNU</w:t>
      </w:r>
    </w:p>
    <w:p w14:paraId="37301A80" w14:textId="77777777" w:rsidR="0075664D" w:rsidRPr="007A6178" w:rsidRDefault="0075664D" w:rsidP="0075664D">
      <w:pPr>
        <w:spacing w:line="276" w:lineRule="auto"/>
        <w:jc w:val="center"/>
        <w:rPr>
          <w:rFonts w:eastAsia="Times New Roman"/>
          <w:b/>
          <w:kern w:val="0"/>
          <w:sz w:val="24"/>
          <w:szCs w:val="24"/>
          <w:lang w:eastAsia="tr-TR"/>
        </w:rPr>
      </w:pPr>
      <w:r w:rsidRPr="007A6178">
        <w:rPr>
          <w:rFonts w:eastAsia="Times New Roman"/>
          <w:b/>
          <w:kern w:val="0"/>
          <w:sz w:val="24"/>
          <w:szCs w:val="24"/>
          <w:lang w:eastAsia="tr-TR"/>
        </w:rPr>
        <w:t>(İLGİLİ MADDELER)</w:t>
      </w:r>
    </w:p>
    <w:p w14:paraId="4B758414" w14:textId="77777777" w:rsidR="0075664D" w:rsidRPr="0075664D" w:rsidRDefault="0075664D" w:rsidP="0075664D">
      <w:pPr>
        <w:jc w:val="center"/>
        <w:rPr>
          <w:lang w:eastAsia="tr-TR"/>
        </w:rPr>
      </w:pPr>
    </w:p>
    <w:p w14:paraId="7658DC76" w14:textId="77777777" w:rsidR="00786A12" w:rsidRPr="0075664D" w:rsidRDefault="00786A12" w:rsidP="0075664D">
      <w:pPr>
        <w:pStyle w:val="nor"/>
        <w:spacing w:before="0" w:beforeAutospacing="0" w:after="0" w:afterAutospacing="0" w:line="264" w:lineRule="atLeast"/>
        <w:jc w:val="center"/>
        <w:rPr>
          <w:rFonts w:ascii="Arial" w:hAnsi="Arial" w:cs="Arial"/>
          <w:color w:val="000000"/>
          <w:sz w:val="20"/>
          <w:szCs w:val="20"/>
        </w:rPr>
      </w:pPr>
      <w:r w:rsidRPr="001854E8">
        <w:rPr>
          <w:rFonts w:ascii="Arial" w:hAnsi="Arial" w:cs="Arial"/>
          <w:color w:val="000000"/>
          <w:sz w:val="20"/>
          <w:szCs w:val="20"/>
        </w:rPr>
        <w:t> </w:t>
      </w:r>
    </w:p>
    <w:p w14:paraId="4A0E9BF8" w14:textId="77777777" w:rsidR="00786A12" w:rsidRPr="005A4197" w:rsidRDefault="00786A12" w:rsidP="00786A12">
      <w:pPr>
        <w:pStyle w:val="ksmblm"/>
        <w:spacing w:before="0" w:beforeAutospacing="0" w:after="0" w:afterAutospacing="0" w:line="240" w:lineRule="atLeast"/>
        <w:ind w:firstLine="567"/>
        <w:jc w:val="center"/>
        <w:rPr>
          <w:rFonts w:ascii="Arial" w:hAnsi="Arial" w:cs="Arial"/>
          <w:b/>
          <w:color w:val="000000"/>
          <w:sz w:val="20"/>
          <w:szCs w:val="20"/>
        </w:rPr>
      </w:pPr>
      <w:r w:rsidRPr="005A4197">
        <w:rPr>
          <w:rFonts w:ascii="Arial" w:hAnsi="Arial" w:cs="Arial"/>
          <w:b/>
          <w:color w:val="000000"/>
          <w:sz w:val="20"/>
          <w:szCs w:val="20"/>
        </w:rPr>
        <w:t>ALTINCI BÖLÜM</w:t>
      </w:r>
    </w:p>
    <w:p w14:paraId="2D8251BC" w14:textId="77777777" w:rsidR="00786A12" w:rsidRPr="005A4197" w:rsidRDefault="00786A12" w:rsidP="00786A12">
      <w:pPr>
        <w:pStyle w:val="ksmblmalt"/>
        <w:spacing w:before="0" w:beforeAutospacing="0" w:after="0" w:afterAutospacing="0" w:line="240" w:lineRule="atLeast"/>
        <w:ind w:firstLine="567"/>
        <w:jc w:val="center"/>
        <w:rPr>
          <w:rFonts w:ascii="Arial" w:hAnsi="Arial" w:cs="Arial"/>
          <w:b/>
          <w:iCs/>
          <w:color w:val="000000"/>
          <w:sz w:val="20"/>
          <w:szCs w:val="20"/>
        </w:rPr>
      </w:pPr>
      <w:r w:rsidRPr="005A4197">
        <w:rPr>
          <w:rFonts w:ascii="Arial" w:hAnsi="Arial" w:cs="Arial"/>
          <w:b/>
          <w:iCs/>
          <w:color w:val="000000"/>
          <w:sz w:val="20"/>
          <w:szCs w:val="20"/>
        </w:rPr>
        <w:t>Sosyal ve Askeri Amaçlı İstisnalarla Diğer İstisnalar</w:t>
      </w:r>
    </w:p>
    <w:p w14:paraId="7B866E90" w14:textId="77777777" w:rsidR="00786A12" w:rsidRPr="005A4197" w:rsidRDefault="00786A12" w:rsidP="00786A12">
      <w:pPr>
        <w:rPr>
          <w:b/>
        </w:rPr>
      </w:pPr>
    </w:p>
    <w:p w14:paraId="6F4C7F46" w14:textId="77777777" w:rsidR="00786A12" w:rsidRPr="0075664D" w:rsidRDefault="00786A12" w:rsidP="0075664D">
      <w:pPr>
        <w:widowControl w:val="0"/>
        <w:spacing w:line="276" w:lineRule="auto"/>
        <w:ind w:left="170" w:right="170"/>
      </w:pPr>
      <w:r w:rsidRPr="0075664D">
        <w:t xml:space="preserve">4. </w:t>
      </w:r>
      <w:r w:rsidRPr="0075664D">
        <w:rPr>
          <w:b/>
        </w:rPr>
        <w:t>Diğer İstisnalar:</w:t>
      </w:r>
    </w:p>
    <w:p w14:paraId="64BB8F19" w14:textId="77777777" w:rsidR="00786A12" w:rsidRPr="0075664D" w:rsidRDefault="00786A12" w:rsidP="0075664D">
      <w:pPr>
        <w:widowControl w:val="0"/>
        <w:spacing w:line="276" w:lineRule="auto"/>
        <w:ind w:left="170" w:right="170"/>
        <w:rPr>
          <w:b/>
        </w:rPr>
      </w:pPr>
      <w:r w:rsidRPr="0075664D">
        <w:rPr>
          <w:b/>
        </w:rPr>
        <w:t>Madde 17 – (…..)</w:t>
      </w:r>
    </w:p>
    <w:p w14:paraId="0A6D96DD" w14:textId="77777777" w:rsidR="00786A12" w:rsidRPr="001854E8" w:rsidRDefault="00786A12" w:rsidP="0075664D">
      <w:pPr>
        <w:widowControl w:val="0"/>
        <w:spacing w:line="276" w:lineRule="auto"/>
        <w:ind w:left="170" w:right="170"/>
      </w:pPr>
      <w:r w:rsidRPr="001854E8">
        <w:t>v) </w:t>
      </w:r>
      <w:r w:rsidRPr="0075664D">
        <w:rPr>
          <w:b/>
        </w:rPr>
        <w:t>(Ek: 13/6/2012-6327/12 md.)</w:t>
      </w:r>
      <w:r w:rsidRPr="0075664D">
        <w:t> </w:t>
      </w:r>
      <w:r w:rsidRPr="001854E8">
        <w:t>3/6/2007 tarihli ve 5684 sayılı Sigortacılık Kanunu uyarınca oluşturulan Sigorta Tahkim Komisyonu tarafından münhasıran uyuşmazlıkların çözümüne ilişkin olarak verilen hizmetler.</w:t>
      </w:r>
    </w:p>
    <w:p w14:paraId="29415B87" w14:textId="77777777" w:rsidR="00786A12" w:rsidRPr="001854E8" w:rsidRDefault="00786A12" w:rsidP="0075664D">
      <w:pPr>
        <w:widowControl w:val="0"/>
        <w:spacing w:line="276" w:lineRule="auto"/>
        <w:ind w:left="170" w:right="170"/>
      </w:pPr>
      <w:r w:rsidRPr="001854E8">
        <w:t>(….)</w:t>
      </w:r>
    </w:p>
    <w:p w14:paraId="4B610935" w14:textId="77777777" w:rsidR="00786A12" w:rsidRPr="001854E8" w:rsidRDefault="00786A12" w:rsidP="00786A12"/>
    <w:p w14:paraId="64AB14D0" w14:textId="77777777" w:rsidR="00786A12" w:rsidRPr="0075664D" w:rsidRDefault="00786A12" w:rsidP="0075664D">
      <w:pPr>
        <w:widowControl w:val="0"/>
        <w:spacing w:line="276" w:lineRule="auto"/>
        <w:ind w:left="170" w:right="170"/>
        <w:rPr>
          <w:b/>
        </w:rPr>
      </w:pPr>
      <w:r w:rsidRPr="0075664D">
        <w:rPr>
          <w:b/>
        </w:rPr>
        <w:t>Geçici Madde 31 – (Ek: 13/6/2012-6327/13 md.) </w:t>
      </w:r>
    </w:p>
    <w:p w14:paraId="124A523F" w14:textId="77777777" w:rsidR="00786A12" w:rsidRPr="0075664D" w:rsidRDefault="00786A12" w:rsidP="0075664D">
      <w:pPr>
        <w:widowControl w:val="0"/>
        <w:spacing w:line="276" w:lineRule="auto"/>
        <w:ind w:left="170" w:right="170"/>
      </w:pPr>
      <w:r w:rsidRPr="0075664D">
        <w:t>28/3/2001 tarihli ve 4632 sayılı Bireysel Emeklilik Tasarruf ve Yatırım Sistemi Kanununun geçici 1 inci maddesinin beşinci fıkrası uyarınca üyelerine veya çalışanlarına emekliliğe yönelik taahhütte bulunan dernek, vakıf, sandık, tüzel kişiliği haiz meslek kuruluşu veya sair ticaret şirketleri nezdinde 16/4/2012 tarihi itibarıyla mevcut bulunan emeklilik taahhüt planları kapsamındaki yurt içi ya da yurt dışındaki birikimler ve taahhütlere ilişkin tutarların (plan esaslarına göre aktarım tarihine kadar mutat yapılan ödemeler nedeniyle oluşanlar dahil) kısmen veya tamamen bireysel emeklilik sistemine aktarılması amacıyla taşınmaz ve iştirak hisselerinin (müzayede mahallinde satışı dahil) devir ve teslimi 31/12/2017 tarihine kadar uygulanmak üzere katma değer vergisinden müstesnadır. Bu istisna, aktarılan tutarla orantılı olarak uygulanır.</w:t>
      </w:r>
    </w:p>
    <w:p w14:paraId="4841F6D4" w14:textId="77777777" w:rsidR="00786A12" w:rsidRPr="0075664D" w:rsidRDefault="00786A12" w:rsidP="0075664D">
      <w:pPr>
        <w:widowControl w:val="0"/>
        <w:spacing w:line="276" w:lineRule="auto"/>
        <w:ind w:left="170" w:right="170"/>
      </w:pPr>
      <w:r w:rsidRPr="0075664D">
        <w:t>Maliye Bakanlığı, bu maddenin uygulamasına ilişkin usul ve esasları belirlemeye yetkilidir.</w:t>
      </w:r>
    </w:p>
    <w:p w14:paraId="25A708D8" w14:textId="77777777" w:rsidR="00786A12" w:rsidRPr="001854E8" w:rsidRDefault="00786A12" w:rsidP="00786A12"/>
    <w:p w14:paraId="140B1A8B" w14:textId="77777777" w:rsidR="00F20A0B" w:rsidRDefault="00652A9F"/>
    <w:sectPr w:rsidR="00F20A0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E8AAC" w14:textId="77777777" w:rsidR="00786A12" w:rsidRDefault="00786A12" w:rsidP="00786A12">
      <w:r>
        <w:separator/>
      </w:r>
    </w:p>
  </w:endnote>
  <w:endnote w:type="continuationSeparator" w:id="0">
    <w:p w14:paraId="3DE7C62C" w14:textId="77777777" w:rsidR="00786A12" w:rsidRDefault="00786A12" w:rsidP="00786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3B15D" w14:textId="14268D85" w:rsidR="00786A12" w:rsidRPr="00652A9F" w:rsidRDefault="00652A9F" w:rsidP="00652A9F">
    <w:pPr>
      <w:pStyle w:val="AltBilgi"/>
    </w:pPr>
    <w:r>
      <w:rPr>
        <w:rFonts w:ascii="Arial" w:hAnsi="Arial" w:cs="Arial"/>
        <w:sz w:val="24"/>
        <w:szCs w:val="24"/>
      </w:rPr>
      <w:fldChar w:fldCharType="begin" w:fldLock="1"/>
    </w:r>
    <w:r>
      <w:rPr>
        <w:rFonts w:ascii="Arial" w:hAnsi="Arial" w:cs="Arial"/>
        <w:sz w:val="24"/>
        <w:szCs w:val="24"/>
      </w:rPr>
      <w:instrText xml:space="preserve"> DOCPROPERTY bjFooterEvenPageDocProperty \* MERGEFORMAT </w:instrText>
    </w:r>
    <w:r>
      <w:rPr>
        <w:rFonts w:ascii="Arial" w:hAnsi="Arial" w:cs="Arial"/>
        <w:sz w:val="24"/>
        <w:szCs w:val="24"/>
      </w:rPr>
      <w:fldChar w:fldCharType="separate"/>
    </w:r>
    <w:r w:rsidRPr="00B66656">
      <w:rPr>
        <w:rFonts w:ascii="Malgun Gothic" w:eastAsia="Malgun Gothic" w:hAnsi="Malgun Gothic" w:cs="Arial"/>
        <w:color w:val="999999"/>
        <w:sz w:val="20"/>
        <w:szCs w:val="20"/>
      </w:rPr>
      <w:t>Sınıflandırma|</w:t>
    </w:r>
    <w:r w:rsidRPr="00B66656">
      <w:rPr>
        <w:rFonts w:ascii="Malgun Gothic" w:eastAsia="Malgun Gothic" w:hAnsi="Malgun Gothic" w:cs="Arial"/>
        <w:color w:val="339966"/>
        <w:sz w:val="20"/>
        <w:szCs w:val="20"/>
      </w:rPr>
      <w:t>Genel</w:t>
    </w:r>
    <w:r>
      <w:rPr>
        <w:rFonts w:ascii="Arial" w:hAnsi="Arial" w:cs="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1992B" w14:textId="62E98129" w:rsidR="00786A12" w:rsidRPr="00652A9F" w:rsidRDefault="00652A9F" w:rsidP="00652A9F">
    <w:pPr>
      <w:pStyle w:val="AltBilgi"/>
    </w:pPr>
    <w:r>
      <w:rPr>
        <w:rFonts w:ascii="Arial" w:hAnsi="Arial" w:cs="Arial"/>
        <w:sz w:val="24"/>
        <w:szCs w:val="24"/>
      </w:rPr>
      <w:fldChar w:fldCharType="begin" w:fldLock="1"/>
    </w:r>
    <w:r>
      <w:rPr>
        <w:rFonts w:ascii="Arial" w:hAnsi="Arial" w:cs="Arial"/>
        <w:sz w:val="24"/>
        <w:szCs w:val="24"/>
      </w:rPr>
      <w:instrText xml:space="preserve"> DOCPROPERTY bjFooterBothDocProperty \* MERGEFORMAT </w:instrText>
    </w:r>
    <w:r>
      <w:rPr>
        <w:rFonts w:ascii="Arial" w:hAnsi="Arial" w:cs="Arial"/>
        <w:sz w:val="24"/>
        <w:szCs w:val="24"/>
      </w:rPr>
      <w:fldChar w:fldCharType="separate"/>
    </w:r>
    <w:r w:rsidRPr="00B66656">
      <w:rPr>
        <w:rFonts w:ascii="Malgun Gothic" w:eastAsia="Malgun Gothic" w:hAnsi="Malgun Gothic" w:cs="Arial"/>
        <w:color w:val="999999"/>
        <w:sz w:val="20"/>
        <w:szCs w:val="20"/>
      </w:rPr>
      <w:t>Sınıflandırma|</w:t>
    </w:r>
    <w:r w:rsidRPr="00B66656">
      <w:rPr>
        <w:rFonts w:ascii="Malgun Gothic" w:eastAsia="Malgun Gothic" w:hAnsi="Malgun Gothic" w:cs="Arial"/>
        <w:color w:val="339966"/>
        <w:sz w:val="20"/>
        <w:szCs w:val="20"/>
      </w:rPr>
      <w:t>Genel</w:t>
    </w:r>
    <w:r>
      <w:rP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8ABF5" w14:textId="0F39D9BB" w:rsidR="00786A12" w:rsidRPr="00652A9F" w:rsidRDefault="00652A9F" w:rsidP="00652A9F">
    <w:pPr>
      <w:pStyle w:val="AltBilgi"/>
    </w:pPr>
    <w:r>
      <w:rPr>
        <w:rFonts w:ascii="Arial" w:hAnsi="Arial" w:cs="Arial"/>
        <w:sz w:val="24"/>
        <w:szCs w:val="24"/>
      </w:rPr>
      <w:fldChar w:fldCharType="begin" w:fldLock="1"/>
    </w:r>
    <w:r>
      <w:rPr>
        <w:rFonts w:ascii="Arial" w:hAnsi="Arial" w:cs="Arial"/>
        <w:sz w:val="24"/>
        <w:szCs w:val="24"/>
      </w:rPr>
      <w:instrText xml:space="preserve"> DOCPROPERTY bjFooterFirstPageDocProperty \* MERGEFORMAT </w:instrText>
    </w:r>
    <w:r>
      <w:rPr>
        <w:rFonts w:ascii="Arial" w:hAnsi="Arial" w:cs="Arial"/>
        <w:sz w:val="24"/>
        <w:szCs w:val="24"/>
      </w:rPr>
      <w:fldChar w:fldCharType="separate"/>
    </w:r>
    <w:r w:rsidRPr="00B66656">
      <w:rPr>
        <w:rFonts w:ascii="Malgun Gothic" w:eastAsia="Malgun Gothic" w:hAnsi="Malgun Gothic" w:cs="Arial"/>
        <w:color w:val="999999"/>
        <w:sz w:val="20"/>
        <w:szCs w:val="20"/>
      </w:rPr>
      <w:t>Sınıflandırma|</w:t>
    </w:r>
    <w:r w:rsidRPr="00B66656">
      <w:rPr>
        <w:rFonts w:ascii="Malgun Gothic" w:eastAsia="Malgun Gothic" w:hAnsi="Malgun Gothic" w:cs="Arial"/>
        <w:color w:val="339966"/>
        <w:sz w:val="20"/>
        <w:szCs w:val="20"/>
      </w:rPr>
      <w:t>Genel</w:t>
    </w:r>
    <w:r>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25CC9" w14:textId="77777777" w:rsidR="00786A12" w:rsidRDefault="00786A12" w:rsidP="00786A12">
      <w:r>
        <w:separator/>
      </w:r>
    </w:p>
  </w:footnote>
  <w:footnote w:type="continuationSeparator" w:id="0">
    <w:p w14:paraId="47B1549A" w14:textId="77777777" w:rsidR="00786A12" w:rsidRDefault="00786A12" w:rsidP="00786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3CF00" w14:textId="77777777" w:rsidR="00786A12" w:rsidRDefault="00786A1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BE755" w14:textId="77777777" w:rsidR="00786A12" w:rsidRDefault="00786A1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878F8" w14:textId="77777777" w:rsidR="00786A12" w:rsidRDefault="00786A1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12"/>
    <w:rsid w:val="00606DF1"/>
    <w:rsid w:val="00652A9F"/>
    <w:rsid w:val="0075664D"/>
    <w:rsid w:val="007804F6"/>
    <w:rsid w:val="00786A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84B38E"/>
  <w15:chartTrackingRefBased/>
  <w15:docId w15:val="{7A336ECF-9258-4A41-8BA7-FDF42537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A12"/>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786A12"/>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86A12"/>
    <w:pPr>
      <w:tabs>
        <w:tab w:val="center" w:pos="4536"/>
        <w:tab w:val="right" w:pos="9072"/>
      </w:tabs>
      <w:jc w:val="left"/>
    </w:pPr>
    <w:rPr>
      <w:rFonts w:asciiTheme="minorHAnsi" w:hAnsiTheme="minorHAnsi" w:cstheme="minorBidi"/>
      <w:color w:val="auto"/>
      <w:kern w:val="0"/>
      <w:sz w:val="22"/>
      <w:szCs w:val="22"/>
    </w:rPr>
  </w:style>
  <w:style w:type="character" w:customStyle="1" w:styleId="stBilgiChar">
    <w:name w:val="Üst Bilgi Char"/>
    <w:basedOn w:val="VarsaylanParagrafYazTipi"/>
    <w:link w:val="stBilgi"/>
    <w:uiPriority w:val="99"/>
    <w:rsid w:val="00786A12"/>
  </w:style>
  <w:style w:type="paragraph" w:styleId="AltBilgi">
    <w:name w:val="footer"/>
    <w:basedOn w:val="Normal"/>
    <w:link w:val="AltBilgiChar"/>
    <w:uiPriority w:val="99"/>
    <w:unhideWhenUsed/>
    <w:rsid w:val="00786A12"/>
    <w:pPr>
      <w:tabs>
        <w:tab w:val="center" w:pos="4536"/>
        <w:tab w:val="right" w:pos="9072"/>
      </w:tabs>
      <w:jc w:val="left"/>
    </w:pPr>
    <w:rPr>
      <w:rFonts w:asciiTheme="minorHAnsi" w:hAnsiTheme="minorHAnsi" w:cstheme="minorBidi"/>
      <w:color w:val="auto"/>
      <w:kern w:val="0"/>
      <w:sz w:val="22"/>
      <w:szCs w:val="22"/>
    </w:rPr>
  </w:style>
  <w:style w:type="character" w:customStyle="1" w:styleId="AltBilgiChar">
    <w:name w:val="Alt Bilgi Char"/>
    <w:basedOn w:val="VarsaylanParagrafYazTipi"/>
    <w:link w:val="AltBilgi"/>
    <w:uiPriority w:val="99"/>
    <w:rsid w:val="00786A12"/>
  </w:style>
  <w:style w:type="character" w:customStyle="1" w:styleId="Balk2Char">
    <w:name w:val="Başlık 2 Char"/>
    <w:basedOn w:val="VarsaylanParagrafYazTipi"/>
    <w:link w:val="Balk2"/>
    <w:uiPriority w:val="9"/>
    <w:rsid w:val="00786A12"/>
    <w:rPr>
      <w:rFonts w:ascii="Arial" w:eastAsia="Cambria" w:hAnsi="Arial" w:cs="Arial"/>
      <w:b/>
      <w:bCs/>
      <w:color w:val="000000"/>
      <w:kern w:val="16"/>
      <w:sz w:val="24"/>
      <w:szCs w:val="24"/>
      <w:lang w:eastAsia="tr-TR"/>
    </w:rPr>
  </w:style>
  <w:style w:type="paragraph" w:customStyle="1" w:styleId="baslk">
    <w:name w:val="baslk"/>
    <w:basedOn w:val="Normal"/>
    <w:rsid w:val="00786A12"/>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nor">
    <w:name w:val="nor"/>
    <w:basedOn w:val="Normal"/>
    <w:rsid w:val="00786A12"/>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ksmblm">
    <w:name w:val="ksmblm"/>
    <w:basedOn w:val="Normal"/>
    <w:rsid w:val="00786A12"/>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ksmblmalt">
    <w:name w:val="ksmblmalt"/>
    <w:basedOn w:val="Normal"/>
    <w:rsid w:val="00786A12"/>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0FBD6D05-3297-4276-957C-0855826424F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1269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3</cp:revision>
  <cp:lastPrinted>2023-05-02T10:13:00Z</cp:lastPrinted>
  <dcterms:created xsi:type="dcterms:W3CDTF">2022-12-29T08:08:00Z</dcterms:created>
  <dcterms:modified xsi:type="dcterms:W3CDTF">2023-05-02T10:13:00Z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f0a414b9-2afb-46ff-befd-70fda551d0d2</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