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B3E32" w14:textId="77777777" w:rsidR="00E34F21" w:rsidRPr="00C03CE4" w:rsidRDefault="00E34F21" w:rsidP="00E34F21">
      <w:pPr>
        <w:widowControl w:val="0"/>
        <w:spacing w:line="276" w:lineRule="auto"/>
        <w:ind w:left="170" w:right="170"/>
        <w:rPr>
          <w:rFonts w:ascii="Arial" w:eastAsiaTheme="minorHAnsi" w:hAnsi="Arial" w:cs="Arial"/>
          <w:b/>
          <w:noProof w:val="0"/>
          <w:color w:val="000000"/>
          <w:position w:val="0"/>
          <w:sz w:val="20"/>
          <w:szCs w:val="20"/>
          <w:u w:val="single"/>
        </w:rPr>
      </w:pPr>
      <w:r w:rsidRPr="00C03CE4">
        <w:rPr>
          <w:rFonts w:ascii="Arial" w:eastAsiaTheme="minorHAnsi" w:hAnsi="Arial" w:cs="Arial"/>
          <w:b/>
          <w:noProof w:val="0"/>
          <w:color w:val="000000"/>
          <w:position w:val="0"/>
          <w:sz w:val="20"/>
          <w:szCs w:val="20"/>
          <w:u w:val="single"/>
        </w:rPr>
        <w:t xml:space="preserve">Resmi Gazete Tarihi: </w:t>
      </w:r>
      <w:r w:rsidRPr="009D1070">
        <w:rPr>
          <w:rFonts w:ascii="Arial" w:eastAsiaTheme="minorHAnsi" w:hAnsi="Arial" w:cs="Arial"/>
          <w:noProof w:val="0"/>
          <w:color w:val="000000"/>
          <w:position w:val="0"/>
          <w:sz w:val="20"/>
          <w:szCs w:val="20"/>
        </w:rPr>
        <w:t>30 Aralık 2005</w:t>
      </w:r>
    </w:p>
    <w:p w14:paraId="24CDC8CD" w14:textId="77777777" w:rsidR="00E34F21" w:rsidRDefault="00E34F21" w:rsidP="00E34F21">
      <w:pPr>
        <w:widowControl w:val="0"/>
        <w:spacing w:line="276" w:lineRule="auto"/>
        <w:ind w:left="170" w:right="170"/>
        <w:rPr>
          <w:rFonts w:ascii="Arial" w:eastAsiaTheme="minorHAnsi" w:hAnsi="Arial" w:cs="Arial"/>
          <w:b/>
          <w:noProof w:val="0"/>
          <w:color w:val="000000"/>
          <w:position w:val="0"/>
          <w:sz w:val="20"/>
          <w:szCs w:val="20"/>
          <w:u w:val="single"/>
        </w:rPr>
      </w:pPr>
      <w:r w:rsidRPr="00C03CE4">
        <w:rPr>
          <w:rFonts w:ascii="Arial" w:eastAsiaTheme="minorHAnsi" w:hAnsi="Arial" w:cs="Arial"/>
          <w:b/>
          <w:noProof w:val="0"/>
          <w:color w:val="000000"/>
          <w:position w:val="0"/>
          <w:sz w:val="20"/>
          <w:szCs w:val="20"/>
          <w:u w:val="single"/>
        </w:rPr>
        <w:t xml:space="preserve">Sayı: </w:t>
      </w:r>
      <w:r w:rsidRPr="009D1070">
        <w:rPr>
          <w:rFonts w:ascii="Arial" w:eastAsiaTheme="minorHAnsi" w:hAnsi="Arial" w:cs="Arial"/>
          <w:noProof w:val="0"/>
          <w:color w:val="000000"/>
          <w:position w:val="0"/>
          <w:sz w:val="20"/>
          <w:szCs w:val="20"/>
        </w:rPr>
        <w:t>26039</w:t>
      </w:r>
    </w:p>
    <w:p w14:paraId="059D22A3" w14:textId="77777777" w:rsidR="00E34F21" w:rsidRPr="00DB55F9" w:rsidRDefault="00E34F21" w:rsidP="00E34F21">
      <w:pPr>
        <w:widowControl w:val="0"/>
        <w:spacing w:line="276" w:lineRule="auto"/>
        <w:ind w:left="170" w:right="170"/>
        <w:rPr>
          <w:rFonts w:ascii="Arial" w:eastAsiaTheme="minorHAnsi" w:hAnsi="Arial" w:cs="Arial"/>
          <w:b/>
          <w:noProof w:val="0"/>
          <w:color w:val="000000"/>
          <w:position w:val="0"/>
          <w:sz w:val="20"/>
          <w:szCs w:val="20"/>
          <w:u w:val="single"/>
        </w:rPr>
      </w:pPr>
    </w:p>
    <w:p w14:paraId="78468999" w14:textId="77777777" w:rsidR="00E34F21" w:rsidRDefault="00E34F21" w:rsidP="00E34F21">
      <w:pPr>
        <w:pStyle w:val="Balk2"/>
        <w:rPr>
          <w:rStyle w:val="document-info-data"/>
          <w:rFonts w:eastAsia="Times New Roman"/>
          <w:bCs w:val="0"/>
          <w:kern w:val="0"/>
        </w:rPr>
      </w:pPr>
      <w:r w:rsidRPr="00DB55F9">
        <w:rPr>
          <w:rStyle w:val="document-info-data"/>
          <w:rFonts w:eastAsia="Times New Roman"/>
          <w:bCs w:val="0"/>
          <w:kern w:val="0"/>
        </w:rPr>
        <w:t>257 SERİ NO’LU GELİR VERGİSİ GENEL TEBLİĞİ</w:t>
      </w:r>
    </w:p>
    <w:p w14:paraId="4519B03D" w14:textId="77777777" w:rsidR="00E34F21" w:rsidRPr="00DB55F9" w:rsidRDefault="00E34F21" w:rsidP="00E34F21">
      <w:pPr>
        <w:tabs>
          <w:tab w:val="left" w:pos="3189"/>
        </w:tabs>
        <w:rPr>
          <w:lang w:eastAsia="tr-TR"/>
        </w:rPr>
      </w:pPr>
      <w:r>
        <w:rPr>
          <w:lang w:eastAsia="tr-TR"/>
        </w:rPr>
        <w:tab/>
      </w:r>
    </w:p>
    <w:p w14:paraId="058ADF2B"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Gelir Vergisi Kanununa 5281 sayılı Kanunun 30 uncu maddesiyle eklenen Geçici 67 nci maddede, menkul kıymetler ve diğer sermaye piyasası araçlarının elden çıkarılması ve elde tutulması sürecinde elde edilen gelirler ile mevduat faizleri, repo gelirleri ve özel finans kurumlarından elde edilen gelirlerin vergilendirilmesine yönelik düzenlemelere yer verilmiştir. </w:t>
      </w:r>
    </w:p>
    <w:p w14:paraId="3BA02147" w14:textId="77777777" w:rsidR="00E34F21"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Söz konusu düzenlemelere ilişkin açıklamalar bu tebliğin konusunu oluşturmaktadır. </w:t>
      </w:r>
    </w:p>
    <w:p w14:paraId="09298487"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p>
    <w:p w14:paraId="18CDD975" w14:textId="77777777" w:rsidR="00E34F21" w:rsidRPr="00DB55F9" w:rsidRDefault="00E34F21" w:rsidP="00E34F21">
      <w:pPr>
        <w:widowControl w:val="0"/>
        <w:spacing w:line="276" w:lineRule="auto"/>
        <w:ind w:left="170" w:right="170"/>
        <w:rPr>
          <w:rFonts w:ascii="Arial" w:eastAsiaTheme="minorHAnsi" w:hAnsi="Arial" w:cs="Arial"/>
          <w:b/>
          <w:noProof w:val="0"/>
          <w:color w:val="000000"/>
          <w:position w:val="0"/>
          <w:sz w:val="20"/>
          <w:szCs w:val="20"/>
        </w:rPr>
      </w:pPr>
      <w:r w:rsidRPr="00DB55F9">
        <w:rPr>
          <w:rFonts w:ascii="Arial" w:eastAsiaTheme="minorHAnsi" w:hAnsi="Arial" w:cs="Arial"/>
          <w:b/>
          <w:noProof w:val="0"/>
          <w:color w:val="000000"/>
          <w:position w:val="0"/>
          <w:sz w:val="20"/>
          <w:szCs w:val="20"/>
        </w:rPr>
        <w:t xml:space="preserve">1. Yasal düzenleme </w:t>
      </w:r>
    </w:p>
    <w:p w14:paraId="2C1C09A3"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Menkul kıymetler ve diğer sermaye piyasası araçlarının elden çıkarılması ve elde tutulması sürecinde elde edilen gelirler ile ilgili olarak 1/1/2006-31/12/2015 döneminde geçerli olacak düzenlemeleri içeren Geçici 67 nci madde aşağıda yer almaktadır. </w:t>
      </w:r>
    </w:p>
    <w:p w14:paraId="4AAA8B87"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b/>
          <w:noProof w:val="0"/>
          <w:color w:val="000000"/>
          <w:position w:val="0"/>
          <w:sz w:val="20"/>
          <w:szCs w:val="20"/>
        </w:rPr>
        <w:t>GEÇİCİ MADDE 67. -</w:t>
      </w:r>
      <w:r w:rsidRPr="00DB55F9">
        <w:rPr>
          <w:rFonts w:ascii="Arial" w:eastAsiaTheme="minorHAnsi" w:hAnsi="Arial" w:cs="Arial"/>
          <w:noProof w:val="0"/>
          <w:color w:val="000000"/>
          <w:position w:val="0"/>
          <w:sz w:val="20"/>
          <w:szCs w:val="20"/>
        </w:rPr>
        <w:t xml:space="preserve"> 1) Bankalar ve aracı kurumlar takvim yılının üçer aylık dönemleri itibarıyla; </w:t>
      </w:r>
    </w:p>
    <w:p w14:paraId="0BB7A7AB"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a) Alım satımına aracılık ettikleri menkul kıymetler ile diğer sermaye piyasası araçlarının alış ve satış bedelleri arasındaki fark, </w:t>
      </w:r>
    </w:p>
    <w:p w14:paraId="1FA7F4A2"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b) Alımına aracılık ettikleri menkul kıymet veya diğer sermaye piyasası araçlarının itfası halinde alış bedeli ile itfa bedeli arasındaki fark, </w:t>
      </w:r>
    </w:p>
    <w:p w14:paraId="0960B675"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c) Menkul kıymetlerin veya diğer sermaye piyasası araçlarının tahsiline aracılık ettikleri dönemsel getirileri (herhangi bir menkul kıymet veya diğer sermaye piyasası aracına bağlı olmayan), </w:t>
      </w:r>
    </w:p>
    <w:p w14:paraId="5E44648B"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d) Aracılık ettikleri menkul kıymet veya diğer sermaye piyasası araçlarının ödünç işlemlerinden sağlanan gelirler </w:t>
      </w:r>
    </w:p>
    <w:p w14:paraId="00D211A0"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Üzerinden % 15 oranında vergi tevkifatı yaparlar. </w:t>
      </w:r>
    </w:p>
    <w:p w14:paraId="15FAD489"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Aynı menkul kıymet ve diğer sermaye piyasası aracından değişik tarihlerde alımlar yapıldıktan sonra bunların bir kısmının elden çıkarılması halinde, ilk giren ilk çıkar yöntemi kullanılmak suretiyle, tevkifat matrahının tespitinde dikkate alınacak alış bedeli belirlenir. Bir menkul kıymet ve diğer sermaye piyasası aracının alımından önce elden çıkarılması halinde, elden çıkarılma tarihinden sonra yapılan ilk alım işlemi esas alınarak üzerinden tevkifat yapılacak tutar tespit edilir. Aynı gün içerisindeki işlemlerde ağırlıklı ortalama yöntemi kullanılabilir. Alış ve satış işlemleri dolayısıyla ödenen komisyonlar ile Banka ve Sigorta Muameleleri Vergisi tevkifat matrahının tespitinde dikkate alınır. </w:t>
      </w:r>
    </w:p>
    <w:p w14:paraId="52B84218"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Üç aylık dönem içerisinde aynı türden menkul kıymet veya diğer sermaye piyasası aracı ile ilgili olarak birden fazla alım satım işlemi yapılması halinde tevkifatın gerçekleştirilmesinde bu işlemler tek bir işlem olarak dikkate alınır. Aynı türden menkul kıymet veya diğer sermaye piyasası aracı alım satımından doğan zararlar takvim yılı aşılmamak kaydıyla izleyen dönemlerin tevkifat matrahından mahsup edilir. Dövize, altına veya başka bir değere endeksli menkul kıymet veya diğer sermaye piyasası aracının alış ve satış bedeli olarak işlem tarihindeki Yeni Türk Lirası karşılıkları esas alınarak tevkifat matrahı tespit edilir. Menkul kıymet ve diğer sermaye piyasası aracının yabancı bir para cinsinden ihraç edilmiş olması halinde ise tevkifat matrahının tespitinde kur farkı dikkate alınmaz. </w:t>
      </w:r>
    </w:p>
    <w:p w14:paraId="01CC6C26"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Menkul kıymet ve diğer sermaye piyasası aracı sahibinin, bu kıymetleri başka bir banka veya aracı kuruma aktarması halinde, söz konusu menkul kıymetlerin alış bedeli ve alış tarihi aktarma yapılan kuruma bildirilir. Aktarmanın başka bir kişi veya kurum adına yapılması halinde, alış bedeli ve alış tarihinin ilgili banka veya aracı kuruma bildirilmesinin yanı sıra işlem Maliye Bakanlığına da bildirilir. Bu bildirimler, başka bir kişi veya kurum adına naklin aynı banka veya aracı kurumun bünyesinde gerçekleştirilmesi veya kıymetin sahibi tarafından fiziken teslim alınması halinde de yapılır. </w:t>
      </w:r>
    </w:p>
    <w:p w14:paraId="1A5DAC4C"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Menkul kıymet ve diğer sermaye piyasası aracının fiziken bir banka veya aracı kuruma teslim edilmesi halinde alış bedeli olarak, tevsik edilmesi kaydıyla, kıymet sahibinin beyanı esas alınır ve yapılan işlem Maliye Bakanlığına bildirilir. </w:t>
      </w:r>
    </w:p>
    <w:p w14:paraId="16A7A5D3"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Sermaye Piyasası Kanununa göre kurulan menkul kıymetler yatırım fonlarının (borsa yatırım fonları </w:t>
      </w:r>
      <w:r w:rsidRPr="00DB55F9">
        <w:rPr>
          <w:rFonts w:ascii="Arial" w:eastAsiaTheme="minorHAnsi" w:hAnsi="Arial" w:cs="Arial"/>
          <w:noProof w:val="0"/>
          <w:color w:val="000000"/>
          <w:position w:val="0"/>
          <w:sz w:val="20"/>
          <w:szCs w:val="20"/>
        </w:rPr>
        <w:lastRenderedPageBreak/>
        <w:t xml:space="preserve">hariç) katılma belgelerinin ilgili olduğu fona iadesi, menkul kıymetler yatırım ortaklıklarının hisse senetlerinin alım satımı, Hazine tarafından yurt dışında ihraç edilen menkul kıymetlerin alım satımı, itfası sırasında elde edilen getirileri ile bunların dönemsel getirilerinin tahsilinde, tam mükellef kurumlara ait olup, İstanbul Menkul Kıymetler Borsasında işlem gören ve bir yıldan fazla süreyle elde tutulan hisse senetlerinin elden çıkarılmasında ve hisse senetleri kâr paylarının hisse sahipleri adına tahsilinde bu fıkra hükümleri uygulanmaz. Tam mükellef kurumlara ait olup, İstanbul Menkul Kıymetler Borsasında işlem gören ve bir yıldan fazla süreyle elde tutulan hisse senetlerinin elden çıkarılmasından elde edilen gelirler için, Gelir Vergisi Kanununun Mükerrer 80 inci madde hükümleri uygulanmaz. </w:t>
      </w:r>
    </w:p>
    <w:p w14:paraId="38913B56"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Bu fıkra kapsamında yapılan tevkifat tutarları, verilecek muhtasar beyannameye dahil edilmez. Banka ve aracı kurumlar, tevkif ettikleri vergileri şekli ve muhteviyatı Maliye Bakanlığınca belirlenecek bir beyanname ile tevkifat dönemini izleyen ayın yirminci günü akşamına kadar bağlı oldukları vergi dairesine beyan eder ve yirmialtıncı günü akşamına kadar öderler. </w:t>
      </w:r>
    </w:p>
    <w:p w14:paraId="369E281C"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Bu maddenin uygulaması bakımından banka veya aracı kurumlar (işleme taraf olanlar) kendilerinde bulunan veya ulaştırılan bilgi ve belgeler kapsamında tarhiyattan sorumlu tutulurlar. Bilgilerin eksik veya yanlış olması nedeniyle eksik beyan edilen kısım için bildirimi yapan adına gerekli tarhiyat yapılır. </w:t>
      </w:r>
    </w:p>
    <w:p w14:paraId="6C759A27"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2) Bu Kanunun 75 inci maddesinin ikinci fıkrasının (5) numaralı bendinde yazılı menkul sermaye iratlarından (Hazine tarafından yurt dışında ihraç edilen menkul kıymetlerden elde edilenler hariç), ödemeyi yapanlarca, banka veya aracı kurumlara veya bunlar aracılığıyla diğer gerçek ve tüzel kişilere ödenenler hariç, % 15 oranında vergi tevkifatı yapılır. Bankalara veya aracı kurumlara alış bedeli tevsik edilmeksizin teslim edilmiş olan menkul kıymetlerin gelirlerinin ödenmesinde ise ödeme banka veya aracı kurumlar aracılığıyla yapılsa dahi tevkifat yapılır. Menkul kıymetin bir banka veya aracı kurum aracılığıyla alınmış olması halinde tevkifatta, bu işlemdeki itfa bedeli ile alış bedeli arasındaki fark esas alınır. Bu iratlar üzerinden 94 üncü madde veya Kurumlar Vergisi Kanununun 24 üncü maddesi kapsamında ayrıca tevkifat yapılmaz. </w:t>
      </w:r>
    </w:p>
    <w:p w14:paraId="76A7BE27"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3) Bankalar ile aracı kurumlar, bir menkul kıymet veya diğer sermaye piyasası aracını (hisse senetleri ile (1) numaralı fıkranın altıncı paragrafında belirtilen menkul kıymetler ve diğer sermaye piyasası araçları hariç) (1) numaralı fıkra kapsamında tevkifata tâbi tutulmaksızın almaları halinde, kendilerine satış yapanlar adına satış bedeli ile alış bedeli arasındaki fark üzerinden % 15 oranında tevkifat yaparlar. Menkul kıymet veya diğer sermaye piyasası aracının daha önce bir banka veya aracı kurumdan alınmamış olması halinde, tevkifatın yapılmasında alış bedeli yerine ihraç bedeli esas alınır. Tevkif edilen vergiler (1) numaralı fıkra kapsamında verilecek beyannameye dahil edilmek suretiyle beyan edilir ve ödenir. </w:t>
      </w:r>
    </w:p>
    <w:p w14:paraId="1C36E544"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4) Bankalar arası mevduat ile aracı kurumların borsa para piyasasında değerlendirdikleri kendilerine ait paralarına yürütülen faizler hariç olmak üzere, 75 inci maddenin ikinci fıkrasının (7), (12) ve (14) numaralı bentlerinde yazılı menkul sermaye iratlarından ödemeyi yapanlarca % 15 oranında vergi tevkifatı yapılır. Bu fıkra kapsamında yapılan tevkifat tutarları 98 inci ve 119 uncu maddelerde belirtilen sürelerde beyan edilir ve ödenir. Bu iratlar üzerinden 94 üncü madde veya Kurumlar Vergisi Kanununun 24 üncü maddesi kapsamında ayrıca tevkifat yapılmaz. </w:t>
      </w:r>
    </w:p>
    <w:p w14:paraId="0106285D" w14:textId="77777777" w:rsidR="00E34F21"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5) Gelir sahibinin gerçek veya tüzel kişi ya da dar veya tam mükellef olması, vergi mükellefiyeti bulunup bulunmaması, vergiden muaf olup olmaması ve elde edilen kazancın vergiden istisna olup olmaması (1), (2), (3) ve (4) numaralı fıkra hükümleri uyarınca yapılacak tevkifatı etkilemez. Şu kadar ki, Sermaye Piyasası Kanununa göre kurulan borsa yatırım fonları ve emeklilik yatırım fonlarının elde ettikleri kazançlar üzerinden (1) ve (4) numaralı fıkralar uyarınca tevkifat yapılmaz. </w:t>
      </w:r>
    </w:p>
    <w:p w14:paraId="64473646"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p>
    <w:p w14:paraId="1AFA0801" w14:textId="77777777" w:rsidR="00E34F21" w:rsidRPr="00DB55F9" w:rsidRDefault="00E34F21" w:rsidP="00E34F21">
      <w:pPr>
        <w:widowControl w:val="0"/>
        <w:spacing w:line="276" w:lineRule="auto"/>
        <w:ind w:left="170" w:right="170"/>
        <w:rPr>
          <w:rFonts w:ascii="Arial" w:eastAsiaTheme="minorHAnsi" w:hAnsi="Arial" w:cs="Arial"/>
          <w:b/>
          <w:noProof w:val="0"/>
          <w:color w:val="000000"/>
          <w:position w:val="0"/>
          <w:sz w:val="20"/>
          <w:szCs w:val="20"/>
        </w:rPr>
      </w:pPr>
      <w:r w:rsidRPr="00DB55F9">
        <w:rPr>
          <w:rFonts w:ascii="Arial" w:eastAsiaTheme="minorHAnsi" w:hAnsi="Arial" w:cs="Arial"/>
          <w:b/>
          <w:noProof w:val="0"/>
          <w:color w:val="000000"/>
          <w:position w:val="0"/>
          <w:sz w:val="20"/>
          <w:szCs w:val="20"/>
        </w:rPr>
        <w:t xml:space="preserve">2.2. Gelirleri üzerinden tevkifat yapılacaklar </w:t>
      </w:r>
    </w:p>
    <w:p w14:paraId="0511D4E0"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Sermaye Piyasası Kanununa göre kurulan borsa yatırım fonları ve emeklilik yatırım fonları dışında kalan gerçek veya tüzel kişilerin elde ettikleri gelirler tevkifat kapsamında olacaktır. </w:t>
      </w:r>
    </w:p>
    <w:p w14:paraId="182045EE"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Tevkifatın gerçekleştirilmesinde, gelir sahibinin gerçek veya tüzel kişi ya da dar veya tam mükellef olması, vergi mükellefiyeti bulunup bulunmaması, vergiden muaf olup olmamasının bir önemi bulunmamaktadır. </w:t>
      </w:r>
    </w:p>
    <w:p w14:paraId="292789EA"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Elde edilen gelirlerin vergiden istisna olup olmamasının da tevkifat uygulamasında bir önemi </w:t>
      </w:r>
      <w:r w:rsidRPr="00DB55F9">
        <w:rPr>
          <w:rFonts w:ascii="Arial" w:eastAsiaTheme="minorHAnsi" w:hAnsi="Arial" w:cs="Arial"/>
          <w:noProof w:val="0"/>
          <w:color w:val="000000"/>
          <w:position w:val="0"/>
          <w:sz w:val="20"/>
          <w:szCs w:val="20"/>
        </w:rPr>
        <w:lastRenderedPageBreak/>
        <w:t xml:space="preserve">bulunmamaktadır. </w:t>
      </w:r>
    </w:p>
    <w:p w14:paraId="6CE2904D"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w:t>
      </w:r>
    </w:p>
    <w:p w14:paraId="4AC6BFF3"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5. Mevduat faizleri ve repo gelirleri üzerinden yapılacak tevkifat </w:t>
      </w:r>
    </w:p>
    <w:p w14:paraId="45BEAF5C"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Geçici 67 nci maddenin (4) numaralı fıkrasında, Gelir Vergisi Kanununun 75 inci maddesinin ikinci fıkrasının (7), (12) ve (14) numaralı bentlerinde yazılı menkul sermaye iratlarından ödemeyi yapanlarca % 15 oranında vergi tevkifatı yapılacağı hükme bağlanmıştır. </w:t>
      </w:r>
    </w:p>
    <w:p w14:paraId="3F5A2D58"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Bu kapsamda; </w:t>
      </w:r>
    </w:p>
    <w:p w14:paraId="018A6968"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 Mevduat Faizleri (Bankalara, bankerlere, tasarruf sandıklarına, tevdiat kabul eden diğer müesseselere yatırılan vadeli, vadesiz paralara ödenen faizler, bunlar dışında kalan kişi ve kuruluşlardan devamlı olarak para toplama işi ile uğraşanların her ne şekil ve ad altında olursa olsun topladıkları paralara sağladıkları gelirler ve menfaatler ile bankalar ve 2499 sayılı Sermaye Piyasası Kanununa göre kurulan aracı kurumlar arasındaki borsa para piyasasında değerlendirilen paralara ödenen faizler de mevduat faizi sayılır.) (75/7), </w:t>
      </w:r>
    </w:p>
    <w:p w14:paraId="35FA657E"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 Faizsiz olarak kredi verenlere ödenen kar payları ile kar ve zarar ortaklığı belgesi karşılığı ödenen kar payları ve özel finans kurumlarınca kar ve zarara katılma hesabı karşılığında ödenen kar payları (75/12), </w:t>
      </w:r>
    </w:p>
    <w:p w14:paraId="62145AC7"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 Gelir Vergisi Kanununun 75 inci maddesinin 2 nci fıkrasının (5) numaralı bendinde yer alan menkul kıymetlerin geri alım ve satım taahhüdü ile iktisap veya elden çıkarılması karşılığında sağlanan menfaatler (repo kazançları) (75/14), </w:t>
      </w:r>
    </w:p>
    <w:p w14:paraId="41EB7EF3"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üzerinden ödemeyi yapanlarca % 15 oranında tevkifat yapılacaktır. </w:t>
      </w:r>
    </w:p>
    <w:p w14:paraId="02721762" w14:textId="77777777" w:rsidR="00E34F21" w:rsidRPr="00DB55F9"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 xml:space="preserve">Diğer taraftan, Sermaye Piyasası Kanununa göre kurulan borsa yatırım fonları ve emeklilik yatırım fonlarının elde ettikleri kazançlar üzerinden bu fıkra kapsamında tevkifat yapılmayacaktır. </w:t>
      </w:r>
    </w:p>
    <w:p w14:paraId="6DF7BBAD" w14:textId="77777777" w:rsidR="00E34F21" w:rsidRPr="00E34F21"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DB55F9">
        <w:rPr>
          <w:rFonts w:ascii="Arial" w:eastAsiaTheme="minorHAnsi" w:hAnsi="Arial" w:cs="Arial"/>
          <w:noProof w:val="0"/>
          <w:color w:val="000000"/>
          <w:position w:val="0"/>
          <w:sz w:val="20"/>
          <w:szCs w:val="20"/>
        </w:rPr>
        <w:t>Tevkifatın gerçekleşti</w:t>
      </w:r>
      <w:r w:rsidRPr="00E34F21">
        <w:rPr>
          <w:rFonts w:ascii="Arial" w:eastAsiaTheme="minorHAnsi" w:hAnsi="Arial" w:cs="Arial"/>
          <w:noProof w:val="0"/>
          <w:color w:val="000000"/>
          <w:position w:val="0"/>
          <w:sz w:val="20"/>
          <w:szCs w:val="20"/>
        </w:rPr>
        <w:t xml:space="preserve">rilmesinde, </w:t>
      </w:r>
      <w:bookmarkStart w:id="0" w:name="_GoBack"/>
      <w:bookmarkEnd w:id="0"/>
      <w:r w:rsidRPr="00E34F21">
        <w:rPr>
          <w:rFonts w:ascii="Arial" w:eastAsiaTheme="minorHAnsi" w:hAnsi="Arial" w:cs="Arial"/>
          <w:noProof w:val="0"/>
          <w:color w:val="000000"/>
          <w:position w:val="0"/>
          <w:sz w:val="20"/>
          <w:szCs w:val="20"/>
        </w:rPr>
        <w:t xml:space="preserve">gelir sahibinin gerçek veya tüzel kişi ya da dar veya tam mükellef olmasının, vergi mükellefiyeti bulunup bulunmamasının, vergiden muaf olup olmamasının veya elde edilen gelirlerin vergiden istisna olup olmamasının da tevkifat uygulamasında bir önemi bulunmamaktadır. </w:t>
      </w:r>
    </w:p>
    <w:p w14:paraId="53E7DB14" w14:textId="77777777" w:rsidR="00E34F21" w:rsidRPr="00E34F21"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E34F21">
        <w:rPr>
          <w:rFonts w:ascii="Arial" w:eastAsiaTheme="minorHAnsi" w:hAnsi="Arial" w:cs="Arial"/>
          <w:noProof w:val="0"/>
          <w:color w:val="000000"/>
          <w:position w:val="0"/>
          <w:sz w:val="20"/>
          <w:szCs w:val="20"/>
        </w:rPr>
        <w:t xml:space="preserve">Düzenleme 01.01.2006 tarihi itibarıyla yürürlüğe gireceğinden bu tarihten sonra yapılacak ödemeler % 15 oranında vergi tevkifatına tabi olacaktır. </w:t>
      </w:r>
    </w:p>
    <w:p w14:paraId="00CC6928" w14:textId="77777777" w:rsidR="00E34F21" w:rsidRPr="00E34F21"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E34F21">
        <w:rPr>
          <w:rFonts w:ascii="Arial" w:eastAsiaTheme="minorHAnsi" w:hAnsi="Arial" w:cs="Arial"/>
          <w:noProof w:val="0"/>
          <w:color w:val="000000"/>
          <w:position w:val="0"/>
          <w:sz w:val="20"/>
          <w:szCs w:val="20"/>
        </w:rPr>
        <w:t xml:space="preserve">Yapılan tevkifatlar, Gelir Vergisi Kanununun 98 inci ve 119 uncu maddelerinde belirtildiği üzere izleyen ayın yirminci günü akşamına kadar muhtasar beyanname ile beyan edilerek yirmi altıncı günü akşamına kadar ödenecektir. Bu gelirler üzerinden Gelir Vergisi Kanununun 94 üncü maddesi ve Kurumlar Vergisi Kanununun 24 üncü maddesi uyarınca ayrıca tevkifat yapılmayacaktır. </w:t>
      </w:r>
    </w:p>
    <w:p w14:paraId="3CEAE3AC" w14:textId="77777777" w:rsidR="00E34F21" w:rsidRPr="00E34F21"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E34F21">
        <w:rPr>
          <w:rFonts w:ascii="Arial" w:eastAsiaTheme="minorHAnsi" w:hAnsi="Arial" w:cs="Arial"/>
          <w:noProof w:val="0"/>
          <w:color w:val="000000"/>
          <w:position w:val="0"/>
          <w:sz w:val="20"/>
          <w:szCs w:val="20"/>
        </w:rPr>
        <w:t xml:space="preserve">Örnek: </w:t>
      </w:r>
    </w:p>
    <w:p w14:paraId="1A2D038C" w14:textId="77777777" w:rsidR="00E34F21" w:rsidRPr="00E34F21"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E34F21">
        <w:rPr>
          <w:rFonts w:ascii="Arial" w:eastAsiaTheme="minorHAnsi" w:hAnsi="Arial" w:cs="Arial"/>
          <w:noProof w:val="0"/>
          <w:color w:val="000000"/>
          <w:position w:val="0"/>
          <w:sz w:val="20"/>
          <w:szCs w:val="20"/>
        </w:rPr>
        <w:t xml:space="preserve">Bay (A) 01.08.2005 tarihinde (Z) Bankasında 6 ay vadeli mevduat hesabı açtırmış olup, vade sonu olan 02.02.2006 tarihinde 10.000 YTL faiz geliri elde etmiştir. </w:t>
      </w:r>
    </w:p>
    <w:p w14:paraId="4BEDCA6E" w14:textId="77777777" w:rsidR="00E34F21" w:rsidRPr="00E34F21"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E34F21">
        <w:rPr>
          <w:rFonts w:ascii="Arial" w:eastAsiaTheme="minorHAnsi" w:hAnsi="Arial" w:cs="Arial"/>
          <w:noProof w:val="0"/>
          <w:color w:val="000000"/>
          <w:position w:val="0"/>
          <w:sz w:val="20"/>
          <w:szCs w:val="20"/>
        </w:rPr>
        <w:t xml:space="preserve">Söz konusu hesabın vadesi 01.01.2006’dan sonraki bir tarihi taşıdığından elde edilen faiz geliri üzerinden Geçici 67 nci maddenin (4) numaralı fıkrasına göre % 15 oranında tevkifat yapılacaktır. </w:t>
      </w:r>
    </w:p>
    <w:p w14:paraId="7C7BBD1E" w14:textId="77777777" w:rsidR="00E34F21" w:rsidRPr="00E34F21"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E34F21">
        <w:rPr>
          <w:rFonts w:ascii="Arial" w:eastAsiaTheme="minorHAnsi" w:hAnsi="Arial" w:cs="Arial"/>
          <w:noProof w:val="0"/>
          <w:color w:val="000000"/>
          <w:position w:val="0"/>
          <w:sz w:val="20"/>
          <w:szCs w:val="20"/>
        </w:rPr>
        <w:t>Öte yandan, bankalar arasındaki mevduat hesaplarına yürütülen faizler ile 2499 sayılı Sermaye Piyasası Kanununa göre kurulan aracı kurumların borsa para piyasasında değerlendirdikleri kendi paralarına ödenen faizler üzerinden tevkifat yapılmayacaktır. Zira, banka ve aracı kurumlarca bu tür işlemlerden elde edilen faiz gelirleri kurum kazancına dahil edilerek beyan edilmektedir.</w:t>
      </w:r>
      <w:r w:rsidRPr="00E34F21">
        <w:rPr>
          <w:rFonts w:ascii="Arial" w:eastAsiaTheme="minorHAnsi" w:hAnsi="Arial" w:cs="Arial"/>
          <w:noProof w:val="0"/>
          <w:color w:val="000000"/>
          <w:position w:val="0"/>
          <w:sz w:val="20"/>
          <w:szCs w:val="20"/>
        </w:rPr>
        <w:br/>
        <w:t xml:space="preserve">Ancak, bankalar ve 2499 sayılı Sermaye Piyasası Kanununa göre kurulan aracı kurumlar arasındaki borsa para piyasasında değerlendirilen banka ve aracı kurum müşterilerine ait paralara ödenen faizlerdeki vergi tevkifatı, kazancı nihai olarak elde eden kişi veya kuruma ödemeyi gerçekleştiren, piyasa üyesi aracı kurumlar ve bankalar tarafından yapılacaktır. Aynı uygulama, nakit teminatlardan elde edilen faiz kazançları için de geçerli olacaktır. </w:t>
      </w:r>
    </w:p>
    <w:p w14:paraId="32131BF7" w14:textId="77777777" w:rsidR="00E34F21" w:rsidRPr="00E34F21" w:rsidRDefault="00E34F21" w:rsidP="00E34F21">
      <w:pPr>
        <w:widowControl w:val="0"/>
        <w:spacing w:line="276" w:lineRule="auto"/>
        <w:ind w:left="170" w:right="170"/>
        <w:rPr>
          <w:rFonts w:ascii="Arial" w:eastAsiaTheme="minorHAnsi" w:hAnsi="Arial" w:cs="Arial"/>
          <w:noProof w:val="0"/>
          <w:color w:val="000000"/>
          <w:position w:val="0"/>
          <w:sz w:val="20"/>
          <w:szCs w:val="20"/>
        </w:rPr>
      </w:pPr>
      <w:r w:rsidRPr="00E34F21">
        <w:rPr>
          <w:rFonts w:ascii="Arial" w:eastAsiaTheme="minorHAnsi" w:hAnsi="Arial" w:cs="Arial"/>
          <w:noProof w:val="0"/>
          <w:color w:val="000000"/>
          <w:position w:val="0"/>
          <w:sz w:val="20"/>
          <w:szCs w:val="20"/>
        </w:rPr>
        <w:t xml:space="preserve">Tebliğ olunur. </w:t>
      </w:r>
    </w:p>
    <w:p w14:paraId="22249425" w14:textId="77777777" w:rsidR="00E34F21" w:rsidRPr="00E34F21" w:rsidRDefault="00E34F21" w:rsidP="00E34F21">
      <w:pPr>
        <w:widowControl w:val="0"/>
        <w:spacing w:line="276" w:lineRule="auto"/>
        <w:ind w:left="170" w:right="170"/>
        <w:rPr>
          <w:rFonts w:ascii="Arial" w:eastAsiaTheme="minorHAnsi" w:hAnsi="Arial" w:cs="Arial"/>
          <w:noProof w:val="0"/>
          <w:color w:val="000000"/>
          <w:position w:val="0"/>
          <w:sz w:val="20"/>
          <w:szCs w:val="20"/>
        </w:rPr>
      </w:pPr>
    </w:p>
    <w:p w14:paraId="705418DE" w14:textId="77777777" w:rsidR="00E34F21" w:rsidRPr="00E34F21" w:rsidRDefault="00E34F21" w:rsidP="00E34F21">
      <w:pPr>
        <w:widowControl w:val="0"/>
        <w:spacing w:line="276" w:lineRule="auto"/>
        <w:ind w:left="170" w:right="170"/>
        <w:jc w:val="left"/>
        <w:rPr>
          <w:rFonts w:ascii="Arial" w:eastAsiaTheme="minorHAnsi" w:hAnsi="Arial" w:cs="Arial"/>
          <w:noProof w:val="0"/>
          <w:color w:val="000000"/>
          <w:position w:val="0"/>
          <w:sz w:val="20"/>
          <w:szCs w:val="20"/>
        </w:rPr>
      </w:pPr>
      <w:r w:rsidRPr="00E34F21">
        <w:rPr>
          <w:rFonts w:ascii="Arial" w:eastAsiaTheme="minorHAnsi" w:hAnsi="Arial" w:cs="Arial"/>
          <w:noProof w:val="0"/>
          <w:color w:val="000000"/>
          <w:position w:val="0"/>
          <w:sz w:val="20"/>
          <w:szCs w:val="20"/>
        </w:rPr>
        <w:t>EK-1:</w:t>
      </w:r>
      <w:hyperlink r:id="rId7" w:history="1">
        <w:r w:rsidRPr="00E34F21">
          <w:rPr>
            <w:rFonts w:ascii="Arial" w:eastAsiaTheme="minorHAnsi" w:hAnsi="Arial" w:cs="Arial"/>
            <w:noProof w:val="0"/>
            <w:color w:val="000000"/>
            <w:position w:val="0"/>
            <w:sz w:val="20"/>
            <w:szCs w:val="20"/>
          </w:rPr>
          <w:t xml:space="preserve">Muhtasar Beyanname </w:t>
        </w:r>
      </w:hyperlink>
      <w:r w:rsidRPr="00E34F21">
        <w:rPr>
          <w:rFonts w:ascii="Arial" w:eastAsiaTheme="minorHAnsi" w:hAnsi="Arial" w:cs="Arial"/>
          <w:noProof w:val="0"/>
          <w:color w:val="000000"/>
          <w:position w:val="0"/>
          <w:sz w:val="20"/>
          <w:szCs w:val="20"/>
        </w:rPr>
        <w:br/>
        <w:t>EK-2:</w:t>
      </w:r>
      <w:hyperlink r:id="rId8" w:history="1">
        <w:r w:rsidRPr="00E34F21">
          <w:rPr>
            <w:rFonts w:ascii="Arial" w:eastAsiaTheme="minorHAnsi" w:hAnsi="Arial" w:cs="Arial"/>
            <w:noProof w:val="0"/>
            <w:color w:val="000000"/>
            <w:position w:val="0"/>
            <w:sz w:val="20"/>
            <w:szCs w:val="20"/>
          </w:rPr>
          <w:t>Adına Tevkifat Yapılanlara Ait Bildirim</w:t>
        </w:r>
      </w:hyperlink>
      <w:r w:rsidRPr="00E34F21">
        <w:rPr>
          <w:rFonts w:ascii="Arial" w:eastAsiaTheme="minorHAnsi" w:hAnsi="Arial" w:cs="Arial"/>
          <w:noProof w:val="0"/>
          <w:color w:val="000000"/>
          <w:position w:val="0"/>
          <w:sz w:val="20"/>
          <w:szCs w:val="20"/>
        </w:rPr>
        <w:br/>
        <w:t>EK-3:</w:t>
      </w:r>
      <w:hyperlink r:id="rId9" w:history="1">
        <w:r w:rsidRPr="00E34F21">
          <w:rPr>
            <w:rFonts w:ascii="Arial" w:eastAsiaTheme="minorHAnsi" w:hAnsi="Arial" w:cs="Arial"/>
            <w:noProof w:val="0"/>
            <w:color w:val="000000"/>
            <w:position w:val="0"/>
            <w:sz w:val="20"/>
            <w:szCs w:val="20"/>
          </w:rPr>
          <w:t>Menkul Kıymet ve Diğer Sermaye Piyasası Aracının Başka Banka Veya Aracı Kuruma Aktarım Bildirimi</w:t>
        </w:r>
      </w:hyperlink>
      <w:r w:rsidRPr="00E34F21">
        <w:rPr>
          <w:rFonts w:ascii="Arial" w:eastAsiaTheme="minorHAnsi" w:hAnsi="Arial" w:cs="Arial"/>
          <w:noProof w:val="0"/>
          <w:color w:val="000000"/>
          <w:position w:val="0"/>
          <w:sz w:val="20"/>
          <w:szCs w:val="20"/>
        </w:rPr>
        <w:br/>
        <w:t>EK-4:</w:t>
      </w:r>
      <w:hyperlink r:id="rId10" w:history="1">
        <w:r w:rsidRPr="00E34F21">
          <w:rPr>
            <w:rFonts w:ascii="Arial" w:eastAsiaTheme="minorHAnsi" w:hAnsi="Arial" w:cs="Arial"/>
            <w:noProof w:val="0"/>
            <w:color w:val="000000"/>
            <w:position w:val="0"/>
            <w:sz w:val="20"/>
            <w:szCs w:val="20"/>
          </w:rPr>
          <w:t xml:space="preserve">Menkul Kıymet ve Diğer Sermaye Piyasası Aracının Fiziken Teslim Alınması - Edilmesi </w:t>
        </w:r>
        <w:r w:rsidRPr="00E34F21">
          <w:rPr>
            <w:rFonts w:ascii="Arial" w:eastAsiaTheme="minorHAnsi" w:hAnsi="Arial" w:cs="Arial"/>
            <w:noProof w:val="0"/>
            <w:color w:val="000000"/>
            <w:position w:val="0"/>
            <w:sz w:val="20"/>
            <w:szCs w:val="20"/>
          </w:rPr>
          <w:lastRenderedPageBreak/>
          <w:t>Halinde Yapılacak Bildirim</w:t>
        </w:r>
      </w:hyperlink>
    </w:p>
    <w:p w14:paraId="654AFD26" w14:textId="77777777" w:rsidR="00E34F21" w:rsidRPr="00A27FC1" w:rsidRDefault="00E34F21" w:rsidP="00E34F21">
      <w:pPr>
        <w:widowControl w:val="0"/>
        <w:autoSpaceDE w:val="0"/>
        <w:autoSpaceDN w:val="0"/>
        <w:adjustRightInd w:val="0"/>
        <w:ind w:left="170" w:right="170"/>
        <w:rPr>
          <w:rFonts w:ascii="Arial" w:hAnsi="Arial" w:cs="Arial"/>
          <w:b/>
          <w:bCs/>
          <w:position w:val="0"/>
          <w:sz w:val="20"/>
          <w:szCs w:val="20"/>
        </w:rPr>
      </w:pPr>
    </w:p>
    <w:p w14:paraId="08DE886E" w14:textId="77777777" w:rsidR="00E34F21" w:rsidRPr="00A27FC1" w:rsidRDefault="00E34F21" w:rsidP="00E34F21">
      <w:pPr>
        <w:widowControl w:val="0"/>
        <w:autoSpaceDE w:val="0"/>
        <w:autoSpaceDN w:val="0"/>
        <w:adjustRightInd w:val="0"/>
        <w:ind w:left="170" w:right="170"/>
        <w:rPr>
          <w:rFonts w:ascii="Arial" w:hAnsi="Arial" w:cs="Arial"/>
          <w:b/>
          <w:bCs/>
          <w:position w:val="0"/>
          <w:sz w:val="20"/>
          <w:szCs w:val="20"/>
        </w:rPr>
      </w:pPr>
    </w:p>
    <w:p w14:paraId="5C248D78" w14:textId="77777777" w:rsidR="00E34F21" w:rsidRPr="00A27FC1" w:rsidRDefault="00E34F21" w:rsidP="00E34F21">
      <w:pPr>
        <w:widowControl w:val="0"/>
        <w:autoSpaceDE w:val="0"/>
        <w:autoSpaceDN w:val="0"/>
        <w:adjustRightInd w:val="0"/>
        <w:ind w:left="170" w:right="170"/>
        <w:rPr>
          <w:rFonts w:ascii="Arial" w:hAnsi="Arial" w:cs="Arial"/>
          <w:b/>
          <w:bCs/>
          <w:position w:val="0"/>
          <w:sz w:val="20"/>
          <w:szCs w:val="20"/>
        </w:rPr>
      </w:pPr>
    </w:p>
    <w:p w14:paraId="01542690" w14:textId="77777777" w:rsidR="00E34F21" w:rsidRPr="00A27FC1" w:rsidRDefault="00E34F21" w:rsidP="00E34F21">
      <w:pPr>
        <w:widowControl w:val="0"/>
        <w:autoSpaceDE w:val="0"/>
        <w:autoSpaceDN w:val="0"/>
        <w:adjustRightInd w:val="0"/>
        <w:ind w:left="170" w:right="170"/>
        <w:rPr>
          <w:rFonts w:ascii="Arial" w:hAnsi="Arial" w:cs="Arial"/>
          <w:b/>
          <w:bCs/>
          <w:position w:val="0"/>
          <w:sz w:val="20"/>
          <w:szCs w:val="20"/>
        </w:rPr>
      </w:pPr>
    </w:p>
    <w:p w14:paraId="1458205B" w14:textId="77777777" w:rsidR="00E34F21" w:rsidRPr="00A27FC1" w:rsidRDefault="00E34F21" w:rsidP="00E34F21">
      <w:pPr>
        <w:widowControl w:val="0"/>
        <w:autoSpaceDE w:val="0"/>
        <w:autoSpaceDN w:val="0"/>
        <w:adjustRightInd w:val="0"/>
        <w:ind w:left="170" w:right="170"/>
        <w:rPr>
          <w:rFonts w:ascii="Arial" w:hAnsi="Arial" w:cs="Arial"/>
          <w:b/>
          <w:bCs/>
          <w:position w:val="0"/>
          <w:sz w:val="20"/>
          <w:szCs w:val="20"/>
        </w:rPr>
      </w:pPr>
    </w:p>
    <w:tbl>
      <w:tblPr>
        <w:tblStyle w:val="TabloKlavuzu"/>
        <w:tblW w:w="0" w:type="auto"/>
        <w:tblLook w:val="04A0" w:firstRow="1" w:lastRow="0" w:firstColumn="1" w:lastColumn="0" w:noHBand="0" w:noVBand="1"/>
      </w:tblPr>
      <w:tblGrid>
        <w:gridCol w:w="3020"/>
        <w:gridCol w:w="3021"/>
        <w:gridCol w:w="3021"/>
      </w:tblGrid>
      <w:tr w:rsidR="00E34F21" w14:paraId="01117BE6" w14:textId="77777777" w:rsidTr="00295F69">
        <w:tc>
          <w:tcPr>
            <w:tcW w:w="3020" w:type="dxa"/>
          </w:tcPr>
          <w:p w14:paraId="13DE05D3" w14:textId="77777777" w:rsidR="00E34F21" w:rsidRPr="0011639D" w:rsidRDefault="00E34F21" w:rsidP="00295F69">
            <w:pPr>
              <w:jc w:val="center"/>
              <w:rPr>
                <w:rFonts w:ascii="Arial" w:hAnsi="Arial" w:cs="Arial"/>
                <w:b/>
                <w:sz w:val="20"/>
                <w:szCs w:val="20"/>
              </w:rPr>
            </w:pPr>
            <w:r w:rsidRPr="0011639D">
              <w:rPr>
                <w:rFonts w:ascii="Arial" w:hAnsi="Arial" w:cs="Arial"/>
                <w:b/>
                <w:sz w:val="20"/>
                <w:szCs w:val="20"/>
              </w:rPr>
              <w:t>Tebliğ No</w:t>
            </w:r>
          </w:p>
        </w:tc>
        <w:tc>
          <w:tcPr>
            <w:tcW w:w="3021" w:type="dxa"/>
          </w:tcPr>
          <w:p w14:paraId="4792288F" w14:textId="77777777" w:rsidR="00E34F21" w:rsidRPr="0011639D" w:rsidRDefault="00E34F21" w:rsidP="00295F69">
            <w:pPr>
              <w:jc w:val="center"/>
              <w:rPr>
                <w:rFonts w:ascii="Arial" w:hAnsi="Arial" w:cs="Arial"/>
                <w:b/>
                <w:sz w:val="20"/>
                <w:szCs w:val="20"/>
              </w:rPr>
            </w:pPr>
            <w:r w:rsidRPr="0011639D">
              <w:rPr>
                <w:rFonts w:ascii="Arial" w:hAnsi="Arial" w:cs="Arial"/>
                <w:b/>
                <w:sz w:val="20"/>
                <w:szCs w:val="20"/>
              </w:rPr>
              <w:t>Resmi Gazete Tarihi</w:t>
            </w:r>
          </w:p>
        </w:tc>
        <w:tc>
          <w:tcPr>
            <w:tcW w:w="3021" w:type="dxa"/>
          </w:tcPr>
          <w:p w14:paraId="4D2AE149" w14:textId="77777777" w:rsidR="00E34F21" w:rsidRPr="0011639D" w:rsidRDefault="00E34F21" w:rsidP="00295F69">
            <w:pPr>
              <w:jc w:val="center"/>
              <w:rPr>
                <w:rFonts w:ascii="Arial" w:hAnsi="Arial" w:cs="Arial"/>
                <w:b/>
                <w:sz w:val="20"/>
                <w:szCs w:val="20"/>
              </w:rPr>
            </w:pPr>
            <w:r w:rsidRPr="0011639D">
              <w:rPr>
                <w:rFonts w:ascii="Arial" w:hAnsi="Arial" w:cs="Arial"/>
                <w:b/>
                <w:sz w:val="20"/>
                <w:szCs w:val="20"/>
              </w:rPr>
              <w:t>Resmi Gazete Sayısı</w:t>
            </w:r>
          </w:p>
        </w:tc>
      </w:tr>
      <w:tr w:rsidR="00E34F21" w14:paraId="5232599C" w14:textId="77777777" w:rsidTr="00295F69">
        <w:tc>
          <w:tcPr>
            <w:tcW w:w="3020" w:type="dxa"/>
          </w:tcPr>
          <w:p w14:paraId="16CAD9E2" w14:textId="77777777" w:rsidR="00E34F21" w:rsidRPr="0011639D" w:rsidRDefault="00E34F21" w:rsidP="00295F69">
            <w:pPr>
              <w:jc w:val="center"/>
              <w:rPr>
                <w:rFonts w:ascii="Arial" w:hAnsi="Arial" w:cs="Arial"/>
                <w:sz w:val="20"/>
                <w:szCs w:val="20"/>
              </w:rPr>
            </w:pPr>
            <w:r>
              <w:rPr>
                <w:rFonts w:ascii="Arial" w:hAnsi="Arial" w:cs="Arial"/>
                <w:sz w:val="20"/>
                <w:szCs w:val="20"/>
              </w:rPr>
              <w:t>Seri No: 257</w:t>
            </w:r>
          </w:p>
        </w:tc>
        <w:tc>
          <w:tcPr>
            <w:tcW w:w="3021" w:type="dxa"/>
          </w:tcPr>
          <w:p w14:paraId="7F1576D6" w14:textId="77777777" w:rsidR="00E34F21" w:rsidRPr="0011639D" w:rsidRDefault="00E34F21" w:rsidP="00295F69">
            <w:pPr>
              <w:jc w:val="center"/>
              <w:rPr>
                <w:rFonts w:ascii="Arial" w:hAnsi="Arial" w:cs="Arial"/>
                <w:sz w:val="20"/>
                <w:szCs w:val="20"/>
              </w:rPr>
            </w:pPr>
            <w:r>
              <w:rPr>
                <w:rFonts w:ascii="Arial" w:hAnsi="Arial" w:cs="Arial"/>
                <w:sz w:val="20"/>
                <w:szCs w:val="20"/>
              </w:rPr>
              <w:t>30.12.2005</w:t>
            </w:r>
          </w:p>
        </w:tc>
        <w:tc>
          <w:tcPr>
            <w:tcW w:w="3021" w:type="dxa"/>
          </w:tcPr>
          <w:p w14:paraId="757CDCDF" w14:textId="77777777" w:rsidR="00E34F21" w:rsidRPr="0011639D" w:rsidRDefault="00E34F21" w:rsidP="00295F69">
            <w:pPr>
              <w:jc w:val="center"/>
              <w:rPr>
                <w:rFonts w:ascii="Arial" w:hAnsi="Arial" w:cs="Arial"/>
                <w:sz w:val="20"/>
                <w:szCs w:val="20"/>
              </w:rPr>
            </w:pPr>
            <w:r>
              <w:rPr>
                <w:rFonts w:ascii="Arial" w:hAnsi="Arial" w:cs="Arial"/>
                <w:sz w:val="20"/>
                <w:szCs w:val="20"/>
              </w:rPr>
              <w:t>26039</w:t>
            </w:r>
          </w:p>
        </w:tc>
      </w:tr>
    </w:tbl>
    <w:p w14:paraId="70A4A696" w14:textId="77777777" w:rsidR="00E34F21" w:rsidRPr="00A27FC1" w:rsidRDefault="00E34F21" w:rsidP="00E34F21">
      <w:pPr>
        <w:widowControl w:val="0"/>
        <w:autoSpaceDE w:val="0"/>
        <w:autoSpaceDN w:val="0"/>
        <w:adjustRightInd w:val="0"/>
        <w:ind w:right="170"/>
        <w:rPr>
          <w:rFonts w:ascii="Arial" w:hAnsi="Arial" w:cs="Arial"/>
          <w:b/>
          <w:bCs/>
          <w:position w:val="0"/>
          <w:sz w:val="20"/>
          <w:szCs w:val="20"/>
        </w:rPr>
      </w:pPr>
    </w:p>
    <w:p w14:paraId="315D563B" w14:textId="77777777" w:rsidR="00A174FE" w:rsidRDefault="00A174FE"/>
    <w:sectPr w:rsidR="00A174F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61D6D" w14:textId="77777777" w:rsidR="00117FF0" w:rsidRDefault="00117FF0" w:rsidP="00E34F21">
      <w:r>
        <w:separator/>
      </w:r>
    </w:p>
  </w:endnote>
  <w:endnote w:type="continuationSeparator" w:id="0">
    <w:p w14:paraId="27669B02" w14:textId="77777777" w:rsidR="00117FF0" w:rsidRDefault="00117FF0" w:rsidP="00E3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C5DCA" w14:textId="0AF13A6B" w:rsidR="00E34F21" w:rsidRPr="00E34F21" w:rsidRDefault="00E34F21" w:rsidP="00E34F21">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97AF0" w14:textId="164CA48B" w:rsidR="00E34F21" w:rsidRPr="00E34F21" w:rsidRDefault="00E34F21" w:rsidP="00E34F21">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1F8F3" w14:textId="64462A25" w:rsidR="00E34F21" w:rsidRPr="00E34F21" w:rsidRDefault="00E34F21" w:rsidP="00E34F21">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B659A" w14:textId="77777777" w:rsidR="00117FF0" w:rsidRDefault="00117FF0" w:rsidP="00E34F21">
      <w:r>
        <w:separator/>
      </w:r>
    </w:p>
  </w:footnote>
  <w:footnote w:type="continuationSeparator" w:id="0">
    <w:p w14:paraId="70B24B7F" w14:textId="77777777" w:rsidR="00117FF0" w:rsidRDefault="00117FF0" w:rsidP="00E34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8D650" w14:textId="77777777" w:rsidR="00E34F21" w:rsidRDefault="00E34F2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773E9" w14:textId="77777777" w:rsidR="00E34F21" w:rsidRDefault="00E34F2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2B84" w14:textId="77777777" w:rsidR="00E34F21" w:rsidRDefault="00E34F2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66"/>
    <w:rsid w:val="00117FF0"/>
    <w:rsid w:val="00A174FE"/>
    <w:rsid w:val="00C17C66"/>
    <w:rsid w:val="00E34F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655534-BB06-427E-B280-D4A40ED2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F21"/>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E34F21"/>
    <w:pPr>
      <w:spacing w:line="276" w:lineRule="auto"/>
      <w:jc w:val="center"/>
      <w:outlineLvl w:val="1"/>
    </w:pPr>
    <w:rPr>
      <w:rFonts w:ascii="Arial" w:eastAsiaTheme="majorEastAsia" w:hAnsi="Arial" w:cs="Arial"/>
      <w:b/>
      <w:bCs/>
      <w:noProof w:val="0"/>
      <w:color w:val="000000"/>
      <w:positio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34F21"/>
    <w:rPr>
      <w:rFonts w:ascii="Arial" w:eastAsiaTheme="majorEastAsia" w:hAnsi="Arial" w:cs="Arial"/>
      <w:b/>
      <w:bCs/>
      <w:color w:val="000000"/>
      <w:kern w:val="16"/>
      <w:sz w:val="24"/>
      <w:szCs w:val="24"/>
    </w:rPr>
  </w:style>
  <w:style w:type="table" w:styleId="TabloKlavuzu">
    <w:name w:val="Table Grid"/>
    <w:basedOn w:val="NormalTablo"/>
    <w:uiPriority w:val="59"/>
    <w:rsid w:val="00E34F21"/>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info-data">
    <w:name w:val="document-info-data"/>
    <w:basedOn w:val="VarsaylanParagrafYazTipi"/>
    <w:rsid w:val="00E34F21"/>
  </w:style>
  <w:style w:type="paragraph" w:styleId="stBilgi">
    <w:name w:val="header"/>
    <w:basedOn w:val="Normal"/>
    <w:link w:val="stBilgiChar"/>
    <w:uiPriority w:val="99"/>
    <w:unhideWhenUsed/>
    <w:rsid w:val="00E34F21"/>
    <w:pPr>
      <w:tabs>
        <w:tab w:val="center" w:pos="4536"/>
        <w:tab w:val="right" w:pos="9072"/>
      </w:tabs>
    </w:pPr>
  </w:style>
  <w:style w:type="character" w:customStyle="1" w:styleId="stBilgiChar">
    <w:name w:val="Üst Bilgi Char"/>
    <w:basedOn w:val="VarsaylanParagrafYazTipi"/>
    <w:link w:val="stBilgi"/>
    <w:uiPriority w:val="99"/>
    <w:rsid w:val="00E34F21"/>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E34F21"/>
    <w:pPr>
      <w:tabs>
        <w:tab w:val="center" w:pos="4536"/>
        <w:tab w:val="right" w:pos="9072"/>
      </w:tabs>
    </w:pPr>
  </w:style>
  <w:style w:type="character" w:customStyle="1" w:styleId="AltBilgiChar">
    <w:name w:val="Alt Bilgi Char"/>
    <w:basedOn w:val="VarsaylanParagrafYazTipi"/>
    <w:link w:val="AltBilgi"/>
    <w:uiPriority w:val="99"/>
    <w:rsid w:val="00E34F21"/>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lirler.gov.tr/gelir2.nsf/gelverteb256ek2?Open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elirler.gov.tr/gelir2.nsf/gelverteb256ek1?OpenPag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elirler.gov.tr/gelir2.nsf/gelverteb256ek4?OpenPage" TargetMode="External"/><Relationship Id="rId4" Type="http://schemas.openxmlformats.org/officeDocument/2006/relationships/webSettings" Target="webSettings.xml"/><Relationship Id="rId9" Type="http://schemas.openxmlformats.org/officeDocument/2006/relationships/hyperlink" Target="http://www.gelirler.gov.tr/gelir2.nsf/gelverteb256ek3?OpenPage"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301DDC74-30FE-47E2-8C8F-DD539BF0F0F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1937</Words>
  <Characters>11045</Characters>
  <Application>Microsoft Office Word</Application>
  <DocSecurity>0</DocSecurity>
  <Lines>92</Lines>
  <Paragraphs>25</Paragraphs>
  <ScaleCrop>false</ScaleCrop>
  <Company>Emeklilik Gozetim Merkezi</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2023-12-21T16:35:00Z</dcterms:created>
  <dcterms:modified xsi:type="dcterms:W3CDTF">2023-12-21T16:38:00Z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74eff7a2-2b28-4e6d-8adb-a745d601ddc2</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