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C96AF" w14:textId="44A9CE17" w:rsidR="00AC7CE0" w:rsidRPr="00760CC6" w:rsidRDefault="00AC7CE0" w:rsidP="00AC7CE0">
      <w:pPr>
        <w:tabs>
          <w:tab w:val="left" w:pos="3039"/>
          <w:tab w:val="left" w:pos="5970"/>
        </w:tabs>
        <w:ind w:left="108"/>
        <w:rPr>
          <w:b/>
          <w:kern w:val="0"/>
          <w:lang w:eastAsia="tr-TR"/>
        </w:rPr>
      </w:pPr>
      <w:r>
        <w:rPr>
          <w:b/>
        </w:rPr>
        <w:t xml:space="preserve">        Resmi Gazete No:</w:t>
      </w:r>
      <w:r w:rsidRPr="00760CC6">
        <w:rPr>
          <w:b/>
          <w:kern w:val="0"/>
          <w:lang w:eastAsia="tr-TR"/>
        </w:rPr>
        <w:t xml:space="preserve"> </w:t>
      </w:r>
      <w:r>
        <w:rPr>
          <w:kern w:val="0"/>
          <w:lang w:eastAsia="tr-TR"/>
        </w:rPr>
        <w:t>31</w:t>
      </w:r>
      <w:r w:rsidR="00DE0D8F">
        <w:rPr>
          <w:kern w:val="0"/>
          <w:lang w:eastAsia="tr-TR"/>
        </w:rPr>
        <w:t>343</w:t>
      </w:r>
    </w:p>
    <w:p w14:paraId="211D8CB2" w14:textId="560075EC" w:rsidR="00AC7CE0" w:rsidRPr="00760CC6" w:rsidRDefault="00AC7CE0" w:rsidP="00AC7C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rStyle w:val="Balk1Char"/>
        </w:rPr>
      </w:pPr>
      <w:r>
        <w:rPr>
          <w:b/>
          <w:kern w:val="0"/>
          <w:lang w:eastAsia="tr-TR"/>
        </w:rPr>
        <w:t xml:space="preserve">          </w:t>
      </w:r>
      <w:r>
        <w:rPr>
          <w:b/>
        </w:rPr>
        <w:t xml:space="preserve">Resmi Gazete Tarihi: </w:t>
      </w:r>
      <w:r w:rsidR="00DE0D8F">
        <w:rPr>
          <w:kern w:val="0"/>
          <w:lang w:eastAsia="tr-TR"/>
        </w:rPr>
        <w:t>23</w:t>
      </w:r>
      <w:r w:rsidRPr="00583276">
        <w:rPr>
          <w:kern w:val="0"/>
          <w:lang w:eastAsia="tr-TR"/>
        </w:rPr>
        <w:t>.</w:t>
      </w:r>
      <w:r w:rsidR="00DE0D8F">
        <w:rPr>
          <w:kern w:val="0"/>
          <w:lang w:eastAsia="tr-TR"/>
        </w:rPr>
        <w:t>12</w:t>
      </w:r>
      <w:r w:rsidRPr="00583276">
        <w:rPr>
          <w:kern w:val="0"/>
          <w:lang w:eastAsia="tr-TR"/>
        </w:rPr>
        <w:t>.20</w:t>
      </w:r>
      <w:r>
        <w:rPr>
          <w:kern w:val="0"/>
          <w:lang w:eastAsia="tr-TR"/>
        </w:rPr>
        <w:t>20</w:t>
      </w:r>
    </w:p>
    <w:p w14:paraId="05AB4955" w14:textId="77777777" w:rsidR="00AC7CE0" w:rsidRPr="00B21F55" w:rsidRDefault="00AC7CE0" w:rsidP="00AC7CE0">
      <w:pPr>
        <w:tabs>
          <w:tab w:val="left" w:pos="566"/>
        </w:tabs>
        <w:spacing w:line="240" w:lineRule="exact"/>
        <w:ind w:firstLine="566"/>
        <w:rPr>
          <w:rFonts w:eastAsia="ヒラギノ明朝 Pro W3"/>
          <w:b/>
          <w:kern w:val="0"/>
          <w:u w:val="single"/>
        </w:rPr>
      </w:pPr>
      <w:r w:rsidRPr="00B21F55">
        <w:rPr>
          <w:rFonts w:eastAsia="ヒラギノ明朝 Pro W3"/>
          <w:b/>
          <w:kern w:val="0"/>
          <w:u w:val="single"/>
        </w:rPr>
        <w:t>Sermaye Piyasası Kurulundan:</w:t>
      </w:r>
    </w:p>
    <w:p w14:paraId="4AE2DA01" w14:textId="30B5AE77" w:rsidR="00626E7B" w:rsidRDefault="00626E7B"/>
    <w:p w14:paraId="53C8F149" w14:textId="77777777" w:rsidR="00AC7CE0" w:rsidRPr="00AC7CE0" w:rsidRDefault="00AC7CE0" w:rsidP="00AC7CE0">
      <w:pPr>
        <w:pStyle w:val="ortabalkbold"/>
        <w:spacing w:before="0" w:beforeAutospacing="0" w:after="0" w:afterAutospacing="0" w:line="240" w:lineRule="atLeast"/>
        <w:jc w:val="center"/>
        <w:rPr>
          <w:rFonts w:ascii="Arial" w:hAnsi="Arial" w:cs="Arial"/>
          <w:b/>
          <w:bCs/>
          <w:color w:val="000000"/>
        </w:rPr>
      </w:pPr>
      <w:r w:rsidRPr="00AC7CE0">
        <w:rPr>
          <w:rFonts w:ascii="Arial" w:hAnsi="Arial" w:cs="Arial"/>
          <w:b/>
          <w:bCs/>
          <w:color w:val="000000"/>
        </w:rPr>
        <w:t>EMEKLİLİK YATIRIM FONLARININ KURULUŞ VE FAALİYETLERİNE</w:t>
      </w:r>
    </w:p>
    <w:p w14:paraId="5EDD52C9" w14:textId="77777777" w:rsidR="00AC7CE0" w:rsidRPr="00AC7CE0" w:rsidRDefault="00AC7CE0" w:rsidP="00AC7CE0">
      <w:pPr>
        <w:pStyle w:val="ortabalkbold"/>
        <w:spacing w:before="0" w:beforeAutospacing="0" w:after="0" w:afterAutospacing="0" w:line="240" w:lineRule="atLeast"/>
        <w:jc w:val="center"/>
        <w:rPr>
          <w:rFonts w:ascii="Arial" w:hAnsi="Arial" w:cs="Arial"/>
          <w:b/>
          <w:bCs/>
          <w:color w:val="000000"/>
        </w:rPr>
      </w:pPr>
      <w:r w:rsidRPr="00AC7CE0">
        <w:rPr>
          <w:rFonts w:ascii="Arial" w:hAnsi="Arial" w:cs="Arial"/>
          <w:b/>
          <w:bCs/>
          <w:color w:val="000000"/>
        </w:rPr>
        <w:t>İLİŞKİN ESASLAR HAKKINDA YÖNETMELİKTE DEĞİŞİKLİK</w:t>
      </w:r>
    </w:p>
    <w:p w14:paraId="6BBDDDFB" w14:textId="5DA53C25" w:rsidR="00AC7CE0" w:rsidRDefault="00AC7CE0" w:rsidP="00AC7CE0">
      <w:pPr>
        <w:pStyle w:val="ortabalkbold"/>
        <w:spacing w:before="0" w:beforeAutospacing="0" w:after="0" w:afterAutospacing="0" w:line="240" w:lineRule="atLeast"/>
        <w:jc w:val="center"/>
        <w:rPr>
          <w:rFonts w:ascii="Arial" w:hAnsi="Arial" w:cs="Arial"/>
          <w:b/>
          <w:bCs/>
          <w:color w:val="000000"/>
        </w:rPr>
      </w:pPr>
      <w:r w:rsidRPr="00AC7CE0">
        <w:rPr>
          <w:rFonts w:ascii="Arial" w:hAnsi="Arial" w:cs="Arial"/>
          <w:b/>
          <w:bCs/>
          <w:color w:val="000000"/>
        </w:rPr>
        <w:t>YAPILMASINA DAİR YÖNETMELİK</w:t>
      </w:r>
    </w:p>
    <w:p w14:paraId="27014510" w14:textId="76C346AF" w:rsidR="00AC7CE0" w:rsidRDefault="00AC7CE0" w:rsidP="00AC7CE0">
      <w:pPr>
        <w:pStyle w:val="ortabalkbold"/>
        <w:spacing w:before="0" w:beforeAutospacing="0" w:after="0" w:afterAutospacing="0" w:line="240" w:lineRule="atLeast"/>
        <w:jc w:val="center"/>
        <w:rPr>
          <w:rFonts w:ascii="Arial" w:hAnsi="Arial" w:cs="Arial"/>
          <w:b/>
          <w:bCs/>
          <w:color w:val="000000"/>
        </w:rPr>
      </w:pPr>
    </w:p>
    <w:p w14:paraId="3C7B998A" w14:textId="77777777" w:rsidR="00AC7CE0" w:rsidRPr="00AC7CE0" w:rsidRDefault="00AC7CE0" w:rsidP="00AC7CE0">
      <w:pPr>
        <w:pStyle w:val="ortabalkbold"/>
        <w:spacing w:before="0" w:beforeAutospacing="0" w:after="0" w:afterAutospacing="0" w:line="240" w:lineRule="atLeast"/>
        <w:jc w:val="center"/>
        <w:rPr>
          <w:rFonts w:ascii="Arial" w:hAnsi="Arial" w:cs="Arial"/>
          <w:b/>
          <w:bCs/>
          <w:color w:val="000000"/>
        </w:rPr>
      </w:pPr>
    </w:p>
    <w:p w14:paraId="792C30EC" w14:textId="77777777" w:rsidR="00DE0D8F" w:rsidRPr="00DE0D8F" w:rsidRDefault="00DE0D8F" w:rsidP="00DE0D8F">
      <w:pPr>
        <w:spacing w:line="276" w:lineRule="auto"/>
        <w:ind w:left="170"/>
        <w:rPr>
          <w:kern w:val="0"/>
          <w:lang w:eastAsia="tr-TR"/>
        </w:rPr>
      </w:pPr>
      <w:r w:rsidRPr="00DE0D8F">
        <w:rPr>
          <w:b/>
          <w:kern w:val="0"/>
          <w:lang w:eastAsia="tr-TR"/>
        </w:rPr>
        <w:t>MADDE 1 –</w:t>
      </w:r>
      <w:r w:rsidRPr="00DE0D8F">
        <w:rPr>
          <w:kern w:val="0"/>
          <w:lang w:eastAsia="tr-TR"/>
        </w:rPr>
        <w:t> 13/3/2013 tarihli ve 28586 sayılı Resmî Gazete’de yayımlanan Emeklilik Yatırım Fonlarının Kuruluş ve Faaliyetlerine İlişkin Esaslar Hakkında Yönetmeliğin 22 nci maddesinin birinci fıkrasına aşağıdaki bentler eklenmiştir.</w:t>
      </w:r>
    </w:p>
    <w:p w14:paraId="2F5DC8C5" w14:textId="77777777" w:rsidR="00DE0D8F" w:rsidRPr="00DE0D8F" w:rsidRDefault="00DE0D8F" w:rsidP="00DE0D8F">
      <w:pPr>
        <w:spacing w:line="276" w:lineRule="auto"/>
        <w:ind w:left="170"/>
        <w:rPr>
          <w:kern w:val="0"/>
          <w:lang w:eastAsia="tr-TR"/>
        </w:rPr>
      </w:pPr>
      <w:r w:rsidRPr="00DE0D8F">
        <w:rPr>
          <w:kern w:val="0"/>
          <w:lang w:eastAsia="tr-TR"/>
        </w:rPr>
        <w:t>“k) İpotek finansmanı kuruluşlarınca ihraç edilen sermaye piyasası araçları ile ipotek finansmanı kuruluşlarının kurucusu olduğu; konut finansmanı fonları tarafından ihraç edilen ipoteğe dayalı menkul kıymetler ve varlık finansmanı fonları tarafından portföylerinde yer alan tüketici kredilerinden kaynaklanan alacaklar karşılık gösterilmek suretiyle ihraç edilen varlığa dayalı menkul kıymetler için (a) ve (f) bentlerinde yer alan sınırlamalar uygulanmaz. Ancak bu bent kapsamında her bir varlığa yapılan yatırım, fon portföy değerinin %35’ini aşamaz.</w:t>
      </w:r>
    </w:p>
    <w:p w14:paraId="3BEBEAEF" w14:textId="77777777" w:rsidR="00DE0D8F" w:rsidRPr="00DE0D8F" w:rsidRDefault="00DE0D8F" w:rsidP="00DE0D8F">
      <w:pPr>
        <w:spacing w:line="276" w:lineRule="auto"/>
        <w:ind w:left="170"/>
        <w:rPr>
          <w:kern w:val="0"/>
          <w:lang w:eastAsia="tr-TR"/>
        </w:rPr>
      </w:pPr>
      <w:r w:rsidRPr="00DE0D8F">
        <w:rPr>
          <w:kern w:val="0"/>
          <w:lang w:eastAsia="tr-TR"/>
        </w:rPr>
        <w:t>l) Fon portföyüne dâhil edilecek varlığa veya ipoteğe dayalı menkul kıymetlerin fon portföyüne dâhil edilme aşamasında ilgili Kurul düzenlemeleri çerçevesinde derecelendirme yapmaya yetkili derecelendirme kuruluşları tarafından yatırım yapılabilir seviyeye denk gelen derecelendirme notunun ilk üç kademesinde nota sahip olunması zorunludur. Yatırım yapıldıktan sonraki süreçte ise, ilgili derecelendirme notunun yatırım yapılabilir seviyenin altına düşmemesi esastır. Söz konusu araçların derecelendirme notunun yatırım yapılabilir seviyenin altına düşmesi halinde ise katılımcıların menfaati de dikkate alınarak söz konusu araçların fon portföyünden çıkarılması için şirket ve/veya portföy yöneticisi tarafından gerekli işlemlerin tesis edilmesi gerekir.”</w:t>
      </w:r>
    </w:p>
    <w:p w14:paraId="2DFFF078" w14:textId="77777777" w:rsidR="00DE0D8F" w:rsidRDefault="00DE0D8F" w:rsidP="00DE0D8F">
      <w:pPr>
        <w:spacing w:line="276" w:lineRule="auto"/>
        <w:ind w:left="170"/>
        <w:rPr>
          <w:b/>
          <w:kern w:val="0"/>
          <w:lang w:eastAsia="tr-TR"/>
        </w:rPr>
      </w:pPr>
    </w:p>
    <w:p w14:paraId="64A0A398" w14:textId="5CFE9751" w:rsidR="00DE0D8F" w:rsidRPr="00DE0D8F" w:rsidRDefault="00DE0D8F" w:rsidP="00DE0D8F">
      <w:pPr>
        <w:spacing w:line="276" w:lineRule="auto"/>
        <w:ind w:left="170"/>
        <w:rPr>
          <w:kern w:val="0"/>
          <w:lang w:eastAsia="tr-TR"/>
        </w:rPr>
      </w:pPr>
      <w:r w:rsidRPr="00DE0D8F">
        <w:rPr>
          <w:b/>
          <w:kern w:val="0"/>
          <w:lang w:eastAsia="tr-TR"/>
        </w:rPr>
        <w:t>MADDE 2 –</w:t>
      </w:r>
      <w:r w:rsidRPr="00DE0D8F">
        <w:rPr>
          <w:kern w:val="0"/>
          <w:lang w:eastAsia="tr-TR"/>
        </w:rPr>
        <w:t> Aynı Yönetmeliğin 40 ıncı maddesinin birinci fıkrasına aşağıdaki cümle eklenmiştir.</w:t>
      </w:r>
    </w:p>
    <w:p w14:paraId="01B0F715" w14:textId="77777777" w:rsidR="00DE0D8F" w:rsidRPr="00DE0D8F" w:rsidRDefault="00DE0D8F" w:rsidP="00DE0D8F">
      <w:pPr>
        <w:spacing w:line="276" w:lineRule="auto"/>
        <w:ind w:left="170"/>
        <w:rPr>
          <w:kern w:val="0"/>
          <w:lang w:eastAsia="tr-TR"/>
        </w:rPr>
      </w:pPr>
      <w:r w:rsidRPr="00DE0D8F">
        <w:rPr>
          <w:kern w:val="0"/>
          <w:lang w:eastAsia="tr-TR"/>
        </w:rPr>
        <w:t>“Borsa İstanbul A.Ş. tarafından hesaplanan BIST Sınai Endeksini takip etmek üzere kurulan endeks fonlar ile aynı endekste yer alan ihraççıların ihraç ettiği sermaye piyasası araçlarına yatırım yapan ve unvanında sanayi sektörü ibaresine yer verilen fonlar için birinci cümlede belirtilen oran yüzbinde sıfır olarak uygulanır.”</w:t>
      </w:r>
    </w:p>
    <w:p w14:paraId="27F328F3" w14:textId="77777777" w:rsidR="00DE0D8F" w:rsidRDefault="00DE0D8F" w:rsidP="00DE0D8F">
      <w:pPr>
        <w:spacing w:line="276" w:lineRule="auto"/>
        <w:ind w:left="170"/>
        <w:rPr>
          <w:b/>
          <w:kern w:val="0"/>
          <w:lang w:eastAsia="tr-TR"/>
        </w:rPr>
      </w:pPr>
    </w:p>
    <w:p w14:paraId="7D039394" w14:textId="4EB8F09A" w:rsidR="00DE0D8F" w:rsidRPr="00DE0D8F" w:rsidRDefault="00DE0D8F" w:rsidP="00DE0D8F">
      <w:pPr>
        <w:spacing w:line="276" w:lineRule="auto"/>
        <w:ind w:left="170"/>
        <w:rPr>
          <w:kern w:val="0"/>
          <w:lang w:eastAsia="tr-TR"/>
        </w:rPr>
      </w:pPr>
      <w:r w:rsidRPr="00DE0D8F">
        <w:rPr>
          <w:b/>
          <w:kern w:val="0"/>
          <w:lang w:eastAsia="tr-TR"/>
        </w:rPr>
        <w:t>MADDE 3 –</w:t>
      </w:r>
      <w:r w:rsidRPr="00DE0D8F">
        <w:rPr>
          <w:kern w:val="0"/>
          <w:lang w:eastAsia="tr-TR"/>
        </w:rPr>
        <w:t> Bu Yönetmelik yayımı tarihinde yürürlüğe girer.</w:t>
      </w:r>
    </w:p>
    <w:p w14:paraId="05A6F667" w14:textId="77777777" w:rsidR="00DE0D8F" w:rsidRDefault="00DE0D8F" w:rsidP="00DE0D8F">
      <w:pPr>
        <w:spacing w:line="276" w:lineRule="auto"/>
        <w:ind w:left="170"/>
        <w:rPr>
          <w:b/>
          <w:kern w:val="0"/>
          <w:lang w:eastAsia="tr-TR"/>
        </w:rPr>
      </w:pPr>
    </w:p>
    <w:p w14:paraId="0D418264" w14:textId="3676C66C" w:rsidR="00DE0D8F" w:rsidRPr="00DE0D8F" w:rsidRDefault="00DE0D8F" w:rsidP="00DE0D8F">
      <w:pPr>
        <w:spacing w:line="276" w:lineRule="auto"/>
        <w:ind w:left="170"/>
        <w:rPr>
          <w:kern w:val="0"/>
          <w:lang w:eastAsia="tr-TR"/>
        </w:rPr>
      </w:pPr>
      <w:bookmarkStart w:id="0" w:name="_GoBack"/>
      <w:bookmarkEnd w:id="0"/>
      <w:r w:rsidRPr="00DE0D8F">
        <w:rPr>
          <w:b/>
          <w:kern w:val="0"/>
          <w:lang w:eastAsia="tr-TR"/>
        </w:rPr>
        <w:t>MADDE 4 –</w:t>
      </w:r>
      <w:r w:rsidRPr="00DE0D8F">
        <w:rPr>
          <w:kern w:val="0"/>
          <w:lang w:eastAsia="tr-TR"/>
        </w:rPr>
        <w:t> Bu Yönetmelik hükümlerini Sermaye Piyasası Kurulu yürütür.</w:t>
      </w:r>
    </w:p>
    <w:p w14:paraId="44F2E512" w14:textId="77777777" w:rsidR="00AC7CE0" w:rsidRDefault="00AC7CE0"/>
    <w:sectPr w:rsidR="00AC7CE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3098A" w14:textId="77777777" w:rsidR="00AC7CE0" w:rsidRDefault="00AC7CE0" w:rsidP="00AC7CE0">
      <w:r>
        <w:separator/>
      </w:r>
    </w:p>
  </w:endnote>
  <w:endnote w:type="continuationSeparator" w:id="0">
    <w:p w14:paraId="1EDCE366" w14:textId="77777777" w:rsidR="00AC7CE0" w:rsidRDefault="00AC7CE0" w:rsidP="00AC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EF0B2" w14:textId="0516C5AC" w:rsidR="00AC7CE0" w:rsidRPr="00DE0D8F" w:rsidRDefault="00DE0D8F" w:rsidP="00DE0D8F">
    <w:pPr>
      <w:pStyle w:val="AltBilgi"/>
      <w:jc w:val="left"/>
    </w:pPr>
    <w:fldSimple w:instr=" DOCPROPERTY bjFooterEvenPageDocProperty \* MERGEFORMAT " w:fldLock="1">
      <w:r w:rsidRPr="00791A89">
        <w:rPr>
          <w:rFonts w:ascii="Malgun Gothic" w:eastAsia="Malgun Gothic" w:hAnsi="Malgun Gothic"/>
          <w:b/>
          <w:color w:val="999999"/>
        </w:rPr>
        <w:t>Sınıflandırma|</w:t>
      </w:r>
      <w:r w:rsidRPr="00791A89">
        <w:rPr>
          <w:rFonts w:ascii="Malgun Gothic" w:eastAsia="Malgun Gothic" w:hAnsi="Malgun Gothic"/>
          <w:b/>
          <w:color w:val="339966"/>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53116" w14:textId="2851073D" w:rsidR="00AC7CE0" w:rsidRPr="00DE0D8F" w:rsidRDefault="00DE0D8F" w:rsidP="00DE0D8F">
    <w:pPr>
      <w:pStyle w:val="AltBilgi"/>
      <w:jc w:val="left"/>
    </w:pPr>
    <w:fldSimple w:instr=" DOCPROPERTY bjFooterBothDocProperty \* MERGEFORMAT " w:fldLock="1">
      <w:r w:rsidRPr="00791A89">
        <w:rPr>
          <w:rFonts w:ascii="Malgun Gothic" w:eastAsia="Malgun Gothic" w:hAnsi="Malgun Gothic"/>
          <w:b/>
          <w:color w:val="999999"/>
        </w:rPr>
        <w:t>Sınıflandırma|</w:t>
      </w:r>
      <w:r w:rsidRPr="00791A89">
        <w:rPr>
          <w:rFonts w:ascii="Malgun Gothic" w:eastAsia="Malgun Gothic" w:hAnsi="Malgun Gothic"/>
          <w:b/>
          <w:color w:val="339966"/>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19CD6" w14:textId="63EFEB90" w:rsidR="00AC7CE0" w:rsidRPr="00DE0D8F" w:rsidRDefault="00DE0D8F" w:rsidP="00DE0D8F">
    <w:pPr>
      <w:pStyle w:val="AltBilgi"/>
      <w:jc w:val="left"/>
    </w:pPr>
    <w:fldSimple w:instr=" DOCPROPERTY bjFooterFirstPageDocProperty \* MERGEFORMAT " w:fldLock="1">
      <w:r w:rsidRPr="00791A89">
        <w:rPr>
          <w:rFonts w:ascii="Malgun Gothic" w:eastAsia="Malgun Gothic" w:hAnsi="Malgun Gothic"/>
          <w:b/>
          <w:color w:val="999999"/>
        </w:rPr>
        <w:t>Sınıflandırma|</w:t>
      </w:r>
      <w:r w:rsidRPr="00791A89">
        <w:rPr>
          <w:rFonts w:ascii="Malgun Gothic" w:eastAsia="Malgun Gothic" w:hAnsi="Malgun Gothic"/>
          <w:b/>
          <w:color w:val="339966"/>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788FB" w14:textId="77777777" w:rsidR="00AC7CE0" w:rsidRDefault="00AC7CE0" w:rsidP="00AC7CE0">
      <w:r>
        <w:separator/>
      </w:r>
    </w:p>
  </w:footnote>
  <w:footnote w:type="continuationSeparator" w:id="0">
    <w:p w14:paraId="223BF1B0" w14:textId="77777777" w:rsidR="00AC7CE0" w:rsidRDefault="00AC7CE0" w:rsidP="00AC7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F796B" w14:textId="77777777" w:rsidR="00AC7CE0" w:rsidRDefault="00AC7CE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2E820" w14:textId="77777777" w:rsidR="00AC7CE0" w:rsidRDefault="00AC7CE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A68CE" w14:textId="77777777" w:rsidR="00AC7CE0" w:rsidRDefault="00AC7CE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929"/>
    <w:rsid w:val="00626E7B"/>
    <w:rsid w:val="00AC7CE0"/>
    <w:rsid w:val="00D14929"/>
    <w:rsid w:val="00DE0D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28EBFE"/>
  <w15:chartTrackingRefBased/>
  <w15:docId w15:val="{D528FA74-E2D9-4C99-8C6C-02809B9F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CE0"/>
    <w:pPr>
      <w:spacing w:after="0" w:line="240" w:lineRule="auto"/>
      <w:jc w:val="both"/>
    </w:pPr>
    <w:rPr>
      <w:rFonts w:ascii="Arial" w:hAnsi="Arial" w:cs="Arial"/>
      <w:color w:val="000000"/>
      <w:kern w:val="16"/>
      <w:sz w:val="20"/>
      <w:szCs w:val="20"/>
    </w:rPr>
  </w:style>
  <w:style w:type="paragraph" w:styleId="Balk1">
    <w:name w:val="heading 1"/>
    <w:basedOn w:val="Normal"/>
    <w:next w:val="Normal"/>
    <w:link w:val="Balk1Char"/>
    <w:qFormat/>
    <w:rsid w:val="00AC7CE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C7CE0"/>
    <w:rPr>
      <w:rFonts w:asciiTheme="majorHAnsi" w:eastAsiaTheme="majorEastAsia" w:hAnsiTheme="majorHAnsi" w:cstheme="majorBidi"/>
      <w:color w:val="2F5496" w:themeColor="accent1" w:themeShade="BF"/>
      <w:kern w:val="16"/>
      <w:sz w:val="32"/>
      <w:szCs w:val="32"/>
    </w:rPr>
  </w:style>
  <w:style w:type="paragraph" w:customStyle="1" w:styleId="ortabalkbold">
    <w:name w:val="ortabalkbold"/>
    <w:basedOn w:val="Normal"/>
    <w:rsid w:val="00AC7CE0"/>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metin">
    <w:name w:val="metin"/>
    <w:basedOn w:val="Normal"/>
    <w:rsid w:val="00AC7CE0"/>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character" w:customStyle="1" w:styleId="grame">
    <w:name w:val="grame"/>
    <w:basedOn w:val="VarsaylanParagrafYazTipi"/>
    <w:rsid w:val="00AC7CE0"/>
  </w:style>
  <w:style w:type="character" w:customStyle="1" w:styleId="spelle">
    <w:name w:val="spelle"/>
    <w:basedOn w:val="VarsaylanParagrafYazTipi"/>
    <w:rsid w:val="00AC7CE0"/>
  </w:style>
  <w:style w:type="paragraph" w:styleId="stBilgi">
    <w:name w:val="header"/>
    <w:basedOn w:val="Normal"/>
    <w:link w:val="stBilgiChar"/>
    <w:uiPriority w:val="99"/>
    <w:unhideWhenUsed/>
    <w:rsid w:val="00AC7CE0"/>
    <w:pPr>
      <w:tabs>
        <w:tab w:val="center" w:pos="4536"/>
        <w:tab w:val="right" w:pos="9072"/>
      </w:tabs>
    </w:pPr>
  </w:style>
  <w:style w:type="character" w:customStyle="1" w:styleId="stBilgiChar">
    <w:name w:val="Üst Bilgi Char"/>
    <w:basedOn w:val="VarsaylanParagrafYazTipi"/>
    <w:link w:val="stBilgi"/>
    <w:uiPriority w:val="99"/>
    <w:rsid w:val="00AC7CE0"/>
    <w:rPr>
      <w:rFonts w:ascii="Arial" w:hAnsi="Arial" w:cs="Arial"/>
      <w:color w:val="000000"/>
      <w:kern w:val="16"/>
      <w:sz w:val="20"/>
      <w:szCs w:val="20"/>
    </w:rPr>
  </w:style>
  <w:style w:type="paragraph" w:styleId="AltBilgi">
    <w:name w:val="footer"/>
    <w:basedOn w:val="Normal"/>
    <w:link w:val="AltBilgiChar"/>
    <w:uiPriority w:val="99"/>
    <w:unhideWhenUsed/>
    <w:rsid w:val="00AC7CE0"/>
    <w:pPr>
      <w:tabs>
        <w:tab w:val="center" w:pos="4536"/>
        <w:tab w:val="right" w:pos="9072"/>
      </w:tabs>
    </w:pPr>
  </w:style>
  <w:style w:type="character" w:customStyle="1" w:styleId="AltBilgiChar">
    <w:name w:val="Alt Bilgi Char"/>
    <w:basedOn w:val="VarsaylanParagrafYazTipi"/>
    <w:link w:val="AltBilgi"/>
    <w:uiPriority w:val="99"/>
    <w:rsid w:val="00AC7CE0"/>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401976">
      <w:bodyDiv w:val="1"/>
      <w:marLeft w:val="0"/>
      <w:marRight w:val="0"/>
      <w:marTop w:val="0"/>
      <w:marBottom w:val="0"/>
      <w:divBdr>
        <w:top w:val="none" w:sz="0" w:space="0" w:color="auto"/>
        <w:left w:val="none" w:sz="0" w:space="0" w:color="auto"/>
        <w:bottom w:val="none" w:sz="0" w:space="0" w:color="auto"/>
        <w:right w:val="none" w:sz="0" w:space="0" w:color="auto"/>
      </w:divBdr>
    </w:div>
    <w:div w:id="39786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F5212CCA-43D9-4515-8BFF-823702CBBE5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348</Words>
  <Characters>1984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3</cp:revision>
  <cp:lastPrinted>2023-05-22T10:55:00Z</cp:lastPrinted>
  <dcterms:created xsi:type="dcterms:W3CDTF">2023-05-22T10:47:00Z</dcterms:created>
  <dcterms:modified xsi:type="dcterms:W3CDTF">2023-05-22T10:55:00Z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1ddf03ba-6f46-4316-90ea-618ff5562972</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