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C96AF" w14:textId="54509835" w:rsidR="00AC7CE0" w:rsidRPr="00760CC6" w:rsidRDefault="00AC7CE0" w:rsidP="00AC7CE0">
      <w:pPr>
        <w:tabs>
          <w:tab w:val="left" w:pos="3039"/>
          <w:tab w:val="left" w:pos="5970"/>
        </w:tabs>
        <w:ind w:left="108"/>
        <w:rPr>
          <w:b/>
          <w:kern w:val="0"/>
          <w:lang w:eastAsia="tr-TR"/>
        </w:rPr>
      </w:pPr>
      <w:r>
        <w:rPr>
          <w:b/>
        </w:rPr>
        <w:t xml:space="preserve">        Resmi Gazete No:</w:t>
      </w:r>
      <w:r w:rsidRPr="00760CC6">
        <w:rPr>
          <w:b/>
          <w:kern w:val="0"/>
          <w:lang w:eastAsia="tr-TR"/>
        </w:rPr>
        <w:t xml:space="preserve"> </w:t>
      </w:r>
      <w:r>
        <w:rPr>
          <w:kern w:val="0"/>
          <w:lang w:eastAsia="tr-TR"/>
        </w:rPr>
        <w:t>31058</w:t>
      </w:r>
    </w:p>
    <w:p w14:paraId="211D8CB2" w14:textId="6B8FCE61" w:rsidR="00AC7CE0" w:rsidRPr="00760CC6" w:rsidRDefault="00AC7CE0" w:rsidP="00AC7C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Style w:val="Balk1Char"/>
        </w:rPr>
      </w:pPr>
      <w:r>
        <w:rPr>
          <w:b/>
          <w:kern w:val="0"/>
          <w:lang w:eastAsia="tr-TR"/>
        </w:rPr>
        <w:t xml:space="preserve">          </w:t>
      </w:r>
      <w:r>
        <w:rPr>
          <w:b/>
        </w:rPr>
        <w:t xml:space="preserve">Resmi Gazete Tarihi: </w:t>
      </w:r>
      <w:r>
        <w:rPr>
          <w:kern w:val="0"/>
          <w:lang w:eastAsia="tr-TR"/>
        </w:rPr>
        <w:t>04</w:t>
      </w:r>
      <w:r w:rsidRPr="00583276">
        <w:rPr>
          <w:kern w:val="0"/>
          <w:lang w:eastAsia="tr-TR"/>
        </w:rPr>
        <w:t>.03.20</w:t>
      </w:r>
      <w:r>
        <w:rPr>
          <w:kern w:val="0"/>
          <w:lang w:eastAsia="tr-TR"/>
        </w:rPr>
        <w:t>20</w:t>
      </w:r>
    </w:p>
    <w:p w14:paraId="05AB4955" w14:textId="77777777" w:rsidR="00AC7CE0" w:rsidRPr="00B21F55" w:rsidRDefault="00AC7CE0" w:rsidP="00AC7CE0">
      <w:pPr>
        <w:tabs>
          <w:tab w:val="left" w:pos="566"/>
        </w:tabs>
        <w:spacing w:line="240" w:lineRule="exact"/>
        <w:ind w:firstLine="566"/>
        <w:rPr>
          <w:rFonts w:eastAsia="ヒラギノ明朝 Pro W3"/>
          <w:b/>
          <w:kern w:val="0"/>
          <w:u w:val="single"/>
        </w:rPr>
      </w:pPr>
      <w:r w:rsidRPr="00B21F55">
        <w:rPr>
          <w:rFonts w:eastAsia="ヒラギノ明朝 Pro W3"/>
          <w:b/>
          <w:kern w:val="0"/>
          <w:u w:val="single"/>
        </w:rPr>
        <w:t>Sermaye Piyasası Kurulundan:</w:t>
      </w:r>
    </w:p>
    <w:p w14:paraId="4AE2DA01" w14:textId="30B5AE77" w:rsidR="00626E7B" w:rsidRDefault="00626E7B"/>
    <w:p w14:paraId="53C8F149" w14:textId="77777777" w:rsidR="00AC7CE0" w:rsidRPr="00AC7CE0" w:rsidRDefault="00AC7CE0" w:rsidP="00AC7CE0">
      <w:pPr>
        <w:pStyle w:val="ortabalkbold"/>
        <w:spacing w:before="0" w:beforeAutospacing="0" w:after="0" w:afterAutospacing="0" w:line="240" w:lineRule="atLeast"/>
        <w:jc w:val="center"/>
        <w:rPr>
          <w:rFonts w:ascii="Arial" w:hAnsi="Arial" w:cs="Arial"/>
          <w:b/>
          <w:bCs/>
          <w:color w:val="000000"/>
        </w:rPr>
      </w:pPr>
      <w:r w:rsidRPr="00AC7CE0">
        <w:rPr>
          <w:rFonts w:ascii="Arial" w:hAnsi="Arial" w:cs="Arial"/>
          <w:b/>
          <w:bCs/>
          <w:color w:val="000000"/>
        </w:rPr>
        <w:t>EMEKLİLİK YATIRIM FONLARININ KURULUŞ VE FAALİYETLERİNE</w:t>
      </w:r>
    </w:p>
    <w:p w14:paraId="5EDD52C9" w14:textId="77777777" w:rsidR="00AC7CE0" w:rsidRPr="00AC7CE0" w:rsidRDefault="00AC7CE0" w:rsidP="00AC7CE0">
      <w:pPr>
        <w:pStyle w:val="ortabalkbold"/>
        <w:spacing w:before="0" w:beforeAutospacing="0" w:after="0" w:afterAutospacing="0" w:line="240" w:lineRule="atLeast"/>
        <w:jc w:val="center"/>
        <w:rPr>
          <w:rFonts w:ascii="Arial" w:hAnsi="Arial" w:cs="Arial"/>
          <w:b/>
          <w:bCs/>
          <w:color w:val="000000"/>
        </w:rPr>
      </w:pPr>
      <w:r w:rsidRPr="00AC7CE0">
        <w:rPr>
          <w:rFonts w:ascii="Arial" w:hAnsi="Arial" w:cs="Arial"/>
          <w:b/>
          <w:bCs/>
          <w:color w:val="000000"/>
        </w:rPr>
        <w:t>İLİŞKİN ESASLAR HAKKINDA YÖNETMELİKTE DEĞİŞİKLİK</w:t>
      </w:r>
    </w:p>
    <w:p w14:paraId="6BBDDDFB" w14:textId="5DA53C25" w:rsidR="00AC7CE0" w:rsidRDefault="00AC7CE0" w:rsidP="00AC7CE0">
      <w:pPr>
        <w:pStyle w:val="ortabalkbold"/>
        <w:spacing w:before="0" w:beforeAutospacing="0" w:after="0" w:afterAutospacing="0" w:line="240" w:lineRule="atLeast"/>
        <w:jc w:val="center"/>
        <w:rPr>
          <w:rFonts w:ascii="Arial" w:hAnsi="Arial" w:cs="Arial"/>
          <w:b/>
          <w:bCs/>
          <w:color w:val="000000"/>
        </w:rPr>
      </w:pPr>
      <w:r w:rsidRPr="00AC7CE0">
        <w:rPr>
          <w:rFonts w:ascii="Arial" w:hAnsi="Arial" w:cs="Arial"/>
          <w:b/>
          <w:bCs/>
          <w:color w:val="000000"/>
        </w:rPr>
        <w:t>YAPILMASINA DAİR YÖNETMELİK</w:t>
      </w:r>
    </w:p>
    <w:p w14:paraId="27014510" w14:textId="76C346AF" w:rsidR="00AC7CE0" w:rsidRDefault="00AC7CE0" w:rsidP="00AC7CE0">
      <w:pPr>
        <w:pStyle w:val="ortabalkbold"/>
        <w:spacing w:before="0" w:beforeAutospacing="0" w:after="0" w:afterAutospacing="0" w:line="240" w:lineRule="atLeast"/>
        <w:jc w:val="center"/>
        <w:rPr>
          <w:rFonts w:ascii="Arial" w:hAnsi="Arial" w:cs="Arial"/>
          <w:b/>
          <w:bCs/>
          <w:color w:val="000000"/>
        </w:rPr>
      </w:pPr>
    </w:p>
    <w:p w14:paraId="3C7B998A" w14:textId="77777777" w:rsidR="00AC7CE0" w:rsidRPr="00AC7CE0" w:rsidRDefault="00AC7CE0" w:rsidP="00AC7CE0">
      <w:pPr>
        <w:pStyle w:val="ortabalkbold"/>
        <w:spacing w:before="0" w:beforeAutospacing="0" w:after="0" w:afterAutospacing="0" w:line="240" w:lineRule="atLeast"/>
        <w:jc w:val="center"/>
        <w:rPr>
          <w:rFonts w:ascii="Arial" w:hAnsi="Arial" w:cs="Arial"/>
          <w:b/>
          <w:bCs/>
          <w:color w:val="000000"/>
        </w:rPr>
      </w:pPr>
    </w:p>
    <w:p w14:paraId="6DF9D4C6" w14:textId="77777777" w:rsidR="00AC7CE0" w:rsidRPr="00AC7CE0" w:rsidRDefault="00AC7CE0" w:rsidP="00AC7CE0">
      <w:pPr>
        <w:spacing w:line="276" w:lineRule="auto"/>
        <w:ind w:left="170"/>
        <w:rPr>
          <w:kern w:val="0"/>
          <w:lang w:eastAsia="tr-TR"/>
        </w:rPr>
      </w:pPr>
      <w:r w:rsidRPr="00AC7CE0">
        <w:rPr>
          <w:b/>
          <w:kern w:val="0"/>
          <w:lang w:eastAsia="tr-TR"/>
        </w:rPr>
        <w:t>MADDE 1 –</w:t>
      </w:r>
      <w:r w:rsidRPr="00AC7CE0">
        <w:rPr>
          <w:kern w:val="0"/>
          <w:lang w:eastAsia="tr-TR"/>
        </w:rPr>
        <w:t> </w:t>
      </w:r>
      <w:r w:rsidRPr="00AC7CE0">
        <w:rPr>
          <w:kern w:val="0"/>
          <w:lang w:eastAsia="tr-TR"/>
        </w:rPr>
        <w:t>13/3/2013</w:t>
      </w:r>
      <w:r w:rsidRPr="00AC7CE0">
        <w:rPr>
          <w:kern w:val="0"/>
          <w:lang w:eastAsia="tr-TR"/>
        </w:rPr>
        <w:t> tarihli ve 28586 sayılı Resmî Gazete’de yayımlanan Emeklilik Yatırım Fonlarının Kuruluş ve Faaliyetlerine İlişkin Esaslar Hakkında Yönetmeliğin 22 </w:t>
      </w:r>
      <w:r w:rsidRPr="00AC7CE0">
        <w:rPr>
          <w:kern w:val="0"/>
          <w:lang w:eastAsia="tr-TR"/>
        </w:rPr>
        <w:t>nci</w:t>
      </w:r>
      <w:r w:rsidRPr="00AC7CE0">
        <w:rPr>
          <w:kern w:val="0"/>
          <w:lang w:eastAsia="tr-TR"/>
        </w:rPr>
        <w:t> maddesinin birinci fıkrasının (ğ) bendi aşağıdaki şekilde değiştirilmiştir.</w:t>
      </w:r>
    </w:p>
    <w:p w14:paraId="2464B408" w14:textId="77777777" w:rsidR="00AC7CE0" w:rsidRPr="00AC7CE0" w:rsidRDefault="00AC7CE0" w:rsidP="00AC7CE0">
      <w:pPr>
        <w:spacing w:line="276" w:lineRule="auto"/>
        <w:ind w:left="170"/>
        <w:rPr>
          <w:kern w:val="0"/>
          <w:lang w:eastAsia="tr-TR"/>
        </w:rPr>
      </w:pPr>
      <w:r w:rsidRPr="00AC7CE0">
        <w:rPr>
          <w:kern w:val="0"/>
          <w:lang w:eastAsia="tr-TR"/>
        </w:rPr>
        <w:t>“ğ) Fon </w:t>
      </w:r>
      <w:r w:rsidRPr="00AC7CE0">
        <w:rPr>
          <w:kern w:val="0"/>
          <w:lang w:eastAsia="tr-TR"/>
        </w:rPr>
        <w:t>portföyünün</w:t>
      </w:r>
      <w:r w:rsidRPr="00AC7CE0">
        <w:rPr>
          <w:kern w:val="0"/>
          <w:lang w:eastAsia="tr-TR"/>
        </w:rPr>
        <w:t> en fazla %20’si </w:t>
      </w:r>
      <w:r w:rsidRPr="00AC7CE0">
        <w:rPr>
          <w:kern w:val="0"/>
          <w:lang w:eastAsia="tr-TR"/>
        </w:rPr>
        <w:t>izahnamesi</w:t>
      </w:r>
      <w:r w:rsidRPr="00AC7CE0">
        <w:rPr>
          <w:kern w:val="0"/>
          <w:lang w:eastAsia="tr-TR"/>
        </w:rPr>
        <w:t> Kurulca onaylanan yatırım fonu ve yabancı yatırım fonu katılma paylarına, %10’u ise yabancı borsalarda işlem gören borsa yatırım fonu katılma paylarına yatırılmak suretiyle değerlendirilir. </w:t>
      </w:r>
      <w:r w:rsidRPr="00AC7CE0">
        <w:rPr>
          <w:kern w:val="0"/>
          <w:lang w:eastAsia="tr-TR"/>
        </w:rPr>
        <w:t>Türkiye’de kurulu</w:t>
      </w:r>
      <w:r w:rsidRPr="00AC7CE0">
        <w:rPr>
          <w:kern w:val="0"/>
          <w:lang w:eastAsia="tr-TR"/>
        </w:rPr>
        <w:t> borsa yatırım fonlarının katılma paylarına yapılan yatırım için bu sınırlamalar uygulanmaz. Ancak tek bir yatırım fonunun, yabancı borsalarda işlem gören borsa yatırım fonunun ve yabancı yatırım fonunun katılma paylarına yapılan yatırım tutarı fon </w:t>
      </w:r>
      <w:r w:rsidRPr="00AC7CE0">
        <w:rPr>
          <w:kern w:val="0"/>
          <w:lang w:eastAsia="tr-TR"/>
        </w:rPr>
        <w:t>portföyünün</w:t>
      </w:r>
      <w:r w:rsidRPr="00AC7CE0">
        <w:rPr>
          <w:kern w:val="0"/>
          <w:lang w:eastAsia="tr-TR"/>
        </w:rPr>
        <w:t> %4’ünü, Türkiye’de kurulu tek bir borsa yatırım fonunun katılma paylarına yapılan yatırım tutarı ise fon portföyünün %20’sini geçemez. Yabancı borsalarda işlem gören borsa yatırım fonlarının katılma payları için, </w:t>
      </w:r>
      <w:r w:rsidRPr="00AC7CE0">
        <w:rPr>
          <w:kern w:val="0"/>
          <w:lang w:eastAsia="tr-TR"/>
        </w:rPr>
        <w:t>izahnamesinin</w:t>
      </w:r>
      <w:r w:rsidRPr="00AC7CE0">
        <w:rPr>
          <w:kern w:val="0"/>
          <w:lang w:eastAsia="tr-TR"/>
        </w:rPr>
        <w:t> Kurulca onaylanmış olması şartı aranmaz. Katılma payları fon portföyüne </w:t>
      </w:r>
      <w:r w:rsidRPr="00AC7CE0">
        <w:rPr>
          <w:kern w:val="0"/>
          <w:lang w:eastAsia="tr-TR"/>
        </w:rPr>
        <w:t>dahil</w:t>
      </w:r>
      <w:r w:rsidRPr="00AC7CE0">
        <w:rPr>
          <w:kern w:val="0"/>
          <w:lang w:eastAsia="tr-TR"/>
        </w:rPr>
        <w:t> edilen yatırım fonlarına giriş, çıkış veya erken çıkış komisyonu ödenemez. Bu fıkranın (a) bendi uyarınca yapılacak ihraççı sınırı kontrolünde, fonların </w:t>
      </w:r>
      <w:r w:rsidRPr="00AC7CE0">
        <w:rPr>
          <w:kern w:val="0"/>
          <w:lang w:eastAsia="tr-TR"/>
        </w:rPr>
        <w:t>portföylerinde</w:t>
      </w:r>
      <w:r w:rsidRPr="00AC7CE0">
        <w:rPr>
          <w:kern w:val="0"/>
          <w:lang w:eastAsia="tr-TR"/>
        </w:rPr>
        <w:t> yer alan yatırım fonu/borsa yatırım fonu katılma payları dikkate alınmaz.”</w:t>
      </w:r>
    </w:p>
    <w:p w14:paraId="56027BC3" w14:textId="77777777" w:rsidR="00AC7CE0" w:rsidRDefault="00AC7CE0" w:rsidP="00AC7CE0">
      <w:pPr>
        <w:spacing w:line="276" w:lineRule="auto"/>
        <w:ind w:left="170"/>
        <w:rPr>
          <w:kern w:val="0"/>
          <w:lang w:eastAsia="tr-TR"/>
        </w:rPr>
      </w:pPr>
    </w:p>
    <w:p w14:paraId="465B5360" w14:textId="6CBE279C" w:rsidR="00AC7CE0" w:rsidRPr="00AC7CE0" w:rsidRDefault="00AC7CE0" w:rsidP="00AC7CE0">
      <w:pPr>
        <w:spacing w:line="276" w:lineRule="auto"/>
        <w:ind w:left="170"/>
        <w:rPr>
          <w:kern w:val="0"/>
          <w:lang w:eastAsia="tr-TR"/>
        </w:rPr>
      </w:pPr>
      <w:r w:rsidRPr="00AC7CE0">
        <w:rPr>
          <w:b/>
          <w:kern w:val="0"/>
          <w:lang w:eastAsia="tr-TR"/>
        </w:rPr>
        <w:t>MADDE 2 –</w:t>
      </w:r>
      <w:r w:rsidRPr="00AC7CE0">
        <w:rPr>
          <w:kern w:val="0"/>
          <w:lang w:eastAsia="tr-TR"/>
        </w:rPr>
        <w:t> Bu Yönetmelik yayımı tarihinde yürürlüğe girer.</w:t>
      </w:r>
    </w:p>
    <w:p w14:paraId="5E15D141" w14:textId="77777777" w:rsidR="00AC7CE0" w:rsidRDefault="00AC7CE0" w:rsidP="00AC7CE0">
      <w:pPr>
        <w:spacing w:line="276" w:lineRule="auto"/>
        <w:ind w:left="170"/>
        <w:rPr>
          <w:kern w:val="0"/>
          <w:lang w:eastAsia="tr-TR"/>
        </w:rPr>
      </w:pPr>
      <w:bookmarkStart w:id="0" w:name="_GoBack"/>
      <w:bookmarkEnd w:id="0"/>
    </w:p>
    <w:p w14:paraId="389A53C1" w14:textId="3852DDDA" w:rsidR="00AC7CE0" w:rsidRPr="00AC7CE0" w:rsidRDefault="00AC7CE0" w:rsidP="00AC7CE0">
      <w:pPr>
        <w:spacing w:line="276" w:lineRule="auto"/>
        <w:ind w:left="170"/>
        <w:rPr>
          <w:kern w:val="0"/>
          <w:lang w:eastAsia="tr-TR"/>
        </w:rPr>
      </w:pPr>
      <w:r w:rsidRPr="00AC7CE0">
        <w:rPr>
          <w:b/>
          <w:kern w:val="0"/>
          <w:lang w:eastAsia="tr-TR"/>
        </w:rPr>
        <w:t>MADDE 3 –</w:t>
      </w:r>
      <w:r w:rsidRPr="00AC7CE0">
        <w:rPr>
          <w:kern w:val="0"/>
          <w:lang w:eastAsia="tr-TR"/>
        </w:rPr>
        <w:t> Bu Yönetmelik hükümlerini Sermaye Piyasası Kurulu yürütür.</w:t>
      </w:r>
    </w:p>
    <w:p w14:paraId="44F2E512" w14:textId="77777777" w:rsidR="00AC7CE0" w:rsidRDefault="00AC7CE0"/>
    <w:sectPr w:rsidR="00AC7CE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3098A" w14:textId="77777777" w:rsidR="00AC7CE0" w:rsidRDefault="00AC7CE0" w:rsidP="00AC7CE0">
      <w:r>
        <w:separator/>
      </w:r>
    </w:p>
  </w:endnote>
  <w:endnote w:type="continuationSeparator" w:id="0">
    <w:p w14:paraId="1EDCE366" w14:textId="77777777" w:rsidR="00AC7CE0" w:rsidRDefault="00AC7CE0" w:rsidP="00AC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F0B2" w14:textId="171DD539" w:rsidR="00AC7CE0" w:rsidRPr="00AC7CE0" w:rsidRDefault="00AC7CE0" w:rsidP="00AC7CE0">
    <w:pPr>
      <w:pStyle w:val="AltBilgi"/>
      <w:jc w:val="left"/>
    </w:pPr>
    <w:fldSimple w:instr=" DOCPROPERTY bjFooterEvenPageDocProperty \* MERGEFORMAT " w:fldLock="1">
      <w:r w:rsidRPr="00791A89">
        <w:rPr>
          <w:rFonts w:ascii="Malgun Gothic" w:eastAsia="Malgun Gothic" w:hAnsi="Malgun Gothic"/>
          <w:b/>
          <w:color w:val="999999"/>
        </w:rPr>
        <w:t>Sınıflandırma|</w:t>
      </w:r>
      <w:r w:rsidRPr="00791A89">
        <w:rPr>
          <w:rFonts w:ascii="Malgun Gothic" w:eastAsia="Malgun Gothic" w:hAnsi="Malgun Gothic"/>
          <w:b/>
          <w:color w:val="339966"/>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53116" w14:textId="0F9ACF68" w:rsidR="00AC7CE0" w:rsidRPr="00AC7CE0" w:rsidRDefault="00AC7CE0" w:rsidP="00AC7CE0">
    <w:pPr>
      <w:pStyle w:val="AltBilgi"/>
      <w:jc w:val="left"/>
    </w:pPr>
    <w:fldSimple w:instr=" DOCPROPERTY bjFooterBothDocProperty \* MERGEFORMAT " w:fldLock="1">
      <w:r w:rsidRPr="00791A89">
        <w:rPr>
          <w:rFonts w:ascii="Malgun Gothic" w:eastAsia="Malgun Gothic" w:hAnsi="Malgun Gothic"/>
          <w:b/>
          <w:color w:val="999999"/>
        </w:rPr>
        <w:t>Sınıflandırma|</w:t>
      </w:r>
      <w:r w:rsidRPr="00791A89">
        <w:rPr>
          <w:rFonts w:ascii="Malgun Gothic" w:eastAsia="Malgun Gothic" w:hAnsi="Malgun Gothic"/>
          <w:b/>
          <w:color w:val="339966"/>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9CD6" w14:textId="227BEE32" w:rsidR="00AC7CE0" w:rsidRPr="00AC7CE0" w:rsidRDefault="00AC7CE0" w:rsidP="00AC7CE0">
    <w:pPr>
      <w:pStyle w:val="AltBilgi"/>
      <w:jc w:val="left"/>
    </w:pPr>
    <w:fldSimple w:instr=" DOCPROPERTY bjFooterFirstPageDocProperty \* MERGEFORMAT " w:fldLock="1">
      <w:r w:rsidRPr="00791A89">
        <w:rPr>
          <w:rFonts w:ascii="Malgun Gothic" w:eastAsia="Malgun Gothic" w:hAnsi="Malgun Gothic"/>
          <w:b/>
          <w:color w:val="999999"/>
        </w:rPr>
        <w:t>Sınıflandırma|</w:t>
      </w:r>
      <w:r w:rsidRPr="00791A89">
        <w:rPr>
          <w:rFonts w:ascii="Malgun Gothic" w:eastAsia="Malgun Gothic" w:hAnsi="Malgun Gothic"/>
          <w:b/>
          <w:color w:val="339966"/>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788FB" w14:textId="77777777" w:rsidR="00AC7CE0" w:rsidRDefault="00AC7CE0" w:rsidP="00AC7CE0">
      <w:r>
        <w:separator/>
      </w:r>
    </w:p>
  </w:footnote>
  <w:footnote w:type="continuationSeparator" w:id="0">
    <w:p w14:paraId="223BF1B0" w14:textId="77777777" w:rsidR="00AC7CE0" w:rsidRDefault="00AC7CE0" w:rsidP="00AC7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F796B" w14:textId="77777777" w:rsidR="00AC7CE0" w:rsidRDefault="00AC7CE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2E820" w14:textId="77777777" w:rsidR="00AC7CE0" w:rsidRDefault="00AC7CE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A68CE" w14:textId="77777777" w:rsidR="00AC7CE0" w:rsidRDefault="00AC7CE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29"/>
    <w:rsid w:val="00626E7B"/>
    <w:rsid w:val="00AC7CE0"/>
    <w:rsid w:val="00D149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8EBFE"/>
  <w15:chartTrackingRefBased/>
  <w15:docId w15:val="{D528FA74-E2D9-4C99-8C6C-02809B9F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CE0"/>
    <w:pPr>
      <w:spacing w:after="0" w:line="240" w:lineRule="auto"/>
      <w:jc w:val="both"/>
    </w:pPr>
    <w:rPr>
      <w:rFonts w:ascii="Arial" w:hAnsi="Arial" w:cs="Arial"/>
      <w:color w:val="000000"/>
      <w:kern w:val="16"/>
      <w:sz w:val="20"/>
      <w:szCs w:val="20"/>
    </w:rPr>
  </w:style>
  <w:style w:type="paragraph" w:styleId="Balk1">
    <w:name w:val="heading 1"/>
    <w:basedOn w:val="Normal"/>
    <w:next w:val="Normal"/>
    <w:link w:val="Balk1Char"/>
    <w:qFormat/>
    <w:rsid w:val="00AC7CE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C7CE0"/>
    <w:rPr>
      <w:rFonts w:asciiTheme="majorHAnsi" w:eastAsiaTheme="majorEastAsia" w:hAnsiTheme="majorHAnsi" w:cstheme="majorBidi"/>
      <w:color w:val="2F5496" w:themeColor="accent1" w:themeShade="BF"/>
      <w:kern w:val="16"/>
      <w:sz w:val="32"/>
      <w:szCs w:val="32"/>
    </w:rPr>
  </w:style>
  <w:style w:type="paragraph" w:customStyle="1" w:styleId="ortabalkbold">
    <w:name w:val="ortabalkbold"/>
    <w:basedOn w:val="Normal"/>
    <w:rsid w:val="00AC7CE0"/>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etin">
    <w:name w:val="metin"/>
    <w:basedOn w:val="Normal"/>
    <w:rsid w:val="00AC7CE0"/>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grame">
    <w:name w:val="grame"/>
    <w:basedOn w:val="VarsaylanParagrafYazTipi"/>
    <w:rsid w:val="00AC7CE0"/>
  </w:style>
  <w:style w:type="character" w:customStyle="1" w:styleId="spelle">
    <w:name w:val="spelle"/>
    <w:basedOn w:val="VarsaylanParagrafYazTipi"/>
    <w:rsid w:val="00AC7CE0"/>
  </w:style>
  <w:style w:type="paragraph" w:styleId="stBilgi">
    <w:name w:val="header"/>
    <w:basedOn w:val="Normal"/>
    <w:link w:val="stBilgiChar"/>
    <w:uiPriority w:val="99"/>
    <w:unhideWhenUsed/>
    <w:rsid w:val="00AC7CE0"/>
    <w:pPr>
      <w:tabs>
        <w:tab w:val="center" w:pos="4536"/>
        <w:tab w:val="right" w:pos="9072"/>
      </w:tabs>
    </w:pPr>
  </w:style>
  <w:style w:type="character" w:customStyle="1" w:styleId="stBilgiChar">
    <w:name w:val="Üst Bilgi Char"/>
    <w:basedOn w:val="VarsaylanParagrafYazTipi"/>
    <w:link w:val="stBilgi"/>
    <w:uiPriority w:val="99"/>
    <w:rsid w:val="00AC7CE0"/>
    <w:rPr>
      <w:rFonts w:ascii="Arial" w:hAnsi="Arial" w:cs="Arial"/>
      <w:color w:val="000000"/>
      <w:kern w:val="16"/>
      <w:sz w:val="20"/>
      <w:szCs w:val="20"/>
    </w:rPr>
  </w:style>
  <w:style w:type="paragraph" w:styleId="AltBilgi">
    <w:name w:val="footer"/>
    <w:basedOn w:val="Normal"/>
    <w:link w:val="AltBilgiChar"/>
    <w:uiPriority w:val="99"/>
    <w:unhideWhenUsed/>
    <w:rsid w:val="00AC7CE0"/>
    <w:pPr>
      <w:tabs>
        <w:tab w:val="center" w:pos="4536"/>
        <w:tab w:val="right" w:pos="9072"/>
      </w:tabs>
    </w:pPr>
  </w:style>
  <w:style w:type="character" w:customStyle="1" w:styleId="AltBilgiChar">
    <w:name w:val="Alt Bilgi Char"/>
    <w:basedOn w:val="VarsaylanParagrafYazTipi"/>
    <w:link w:val="AltBilgi"/>
    <w:uiPriority w:val="99"/>
    <w:rsid w:val="00AC7CE0"/>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6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5F259A79-53CB-45FE-B587-4660623BDF2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cp:lastPrinted>2023-05-22T10:51:00Z</cp:lastPrinted>
  <dcterms:created xsi:type="dcterms:W3CDTF">2023-05-22T10:47:00Z</dcterms:created>
  <dcterms:modified xsi:type="dcterms:W3CDTF">2023-05-22T10:51:00Z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1ddf03ba-6f46-4316-90ea-618ff5562972</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