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F225F" w14:textId="2964DEFE" w:rsidR="00AE7E2A" w:rsidRPr="00760CC6" w:rsidRDefault="00AE7E2A" w:rsidP="00AE7E2A">
      <w:pPr>
        <w:tabs>
          <w:tab w:val="left" w:pos="3039"/>
          <w:tab w:val="left" w:pos="5970"/>
        </w:tabs>
        <w:ind w:left="108"/>
        <w:rPr>
          <w:b/>
          <w:kern w:val="0"/>
          <w:lang w:eastAsia="tr-TR"/>
        </w:rPr>
      </w:pPr>
      <w:r>
        <w:rPr>
          <w:b/>
        </w:rPr>
        <w:t xml:space="preserve">        Resmi Gazete No:</w:t>
      </w:r>
      <w:r w:rsidRPr="00760CC6">
        <w:rPr>
          <w:b/>
          <w:kern w:val="0"/>
          <w:lang w:eastAsia="tr-TR"/>
        </w:rPr>
        <w:t xml:space="preserve"> </w:t>
      </w:r>
      <w:r w:rsidRPr="00583276">
        <w:rPr>
          <w:kern w:val="0"/>
          <w:lang w:eastAsia="tr-TR"/>
        </w:rPr>
        <w:t>2</w:t>
      </w:r>
      <w:r>
        <w:rPr>
          <w:kern w:val="0"/>
          <w:lang w:eastAsia="tr-TR"/>
        </w:rPr>
        <w:t>9921</w:t>
      </w:r>
    </w:p>
    <w:p w14:paraId="65A67D03" w14:textId="41CC984F" w:rsidR="00AE7E2A" w:rsidRPr="00760CC6" w:rsidRDefault="00AE7E2A" w:rsidP="00AE7E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rStyle w:val="Balk1Char"/>
        </w:rPr>
      </w:pPr>
      <w:bookmarkStart w:id="0" w:name="_GoBack"/>
      <w:r>
        <w:rPr>
          <w:b/>
          <w:kern w:val="0"/>
          <w:lang w:eastAsia="tr-TR"/>
        </w:rPr>
        <w:t xml:space="preserve">          </w:t>
      </w:r>
      <w:r>
        <w:rPr>
          <w:b/>
        </w:rPr>
        <w:t xml:space="preserve">Resmi Gazete Tarihi: </w:t>
      </w:r>
      <w:r w:rsidRPr="00583276">
        <w:rPr>
          <w:kern w:val="0"/>
          <w:lang w:eastAsia="tr-TR"/>
        </w:rPr>
        <w:t>1</w:t>
      </w:r>
      <w:r>
        <w:rPr>
          <w:kern w:val="0"/>
          <w:lang w:eastAsia="tr-TR"/>
        </w:rPr>
        <w:t>7</w:t>
      </w:r>
      <w:r w:rsidRPr="00583276">
        <w:rPr>
          <w:kern w:val="0"/>
          <w:lang w:eastAsia="tr-TR"/>
        </w:rPr>
        <w:t>.</w:t>
      </w:r>
      <w:r>
        <w:rPr>
          <w:kern w:val="0"/>
          <w:lang w:eastAsia="tr-TR"/>
        </w:rPr>
        <w:t>12</w:t>
      </w:r>
      <w:r w:rsidRPr="00583276">
        <w:rPr>
          <w:kern w:val="0"/>
          <w:lang w:eastAsia="tr-TR"/>
        </w:rPr>
        <w:t>.201</w:t>
      </w:r>
      <w:r>
        <w:rPr>
          <w:kern w:val="0"/>
          <w:lang w:eastAsia="tr-TR"/>
        </w:rPr>
        <w:t>6</w:t>
      </w:r>
    </w:p>
    <w:bookmarkEnd w:id="0"/>
    <w:p w14:paraId="3F16D3FA" w14:textId="77777777" w:rsidR="00AE7E2A" w:rsidRPr="00B21F55" w:rsidRDefault="00AE7E2A" w:rsidP="00AE7E2A">
      <w:pPr>
        <w:tabs>
          <w:tab w:val="left" w:pos="566"/>
        </w:tabs>
        <w:spacing w:line="240" w:lineRule="exact"/>
        <w:ind w:firstLine="566"/>
        <w:rPr>
          <w:rFonts w:eastAsia="ヒラギノ明朝 Pro W3"/>
          <w:b/>
          <w:kern w:val="0"/>
          <w:u w:val="single"/>
        </w:rPr>
      </w:pPr>
      <w:r w:rsidRPr="00B21F55">
        <w:rPr>
          <w:rFonts w:eastAsia="ヒラギノ明朝 Pro W3"/>
          <w:b/>
          <w:kern w:val="0"/>
          <w:u w:val="single"/>
        </w:rPr>
        <w:t>Sermaye Piyasası Kurulundan:</w:t>
      </w:r>
    </w:p>
    <w:p w14:paraId="2AC09D9E" w14:textId="77777777" w:rsidR="00AE7E2A" w:rsidRPr="00AE7E2A" w:rsidRDefault="00AE7E2A" w:rsidP="00AE7E2A">
      <w:pPr>
        <w:pStyle w:val="Balk2"/>
        <w:spacing w:line="276" w:lineRule="auto"/>
      </w:pPr>
      <w:r>
        <w:br/>
      </w:r>
      <w:r w:rsidRPr="00AE7E2A">
        <w:t>EMEKLİLİK YATIRIM FONLARININ KURULUŞ VE FAALİYETLERİNE</w:t>
      </w:r>
    </w:p>
    <w:p w14:paraId="3A6B7C62" w14:textId="77777777" w:rsidR="00AE7E2A" w:rsidRPr="00AE7E2A" w:rsidRDefault="00AE7E2A" w:rsidP="00AE7E2A">
      <w:pPr>
        <w:pStyle w:val="Balk2"/>
        <w:spacing w:line="276" w:lineRule="auto"/>
      </w:pPr>
      <w:r w:rsidRPr="00AE7E2A">
        <w:t>İLİŞKİN ESASLAR HAKKINDA YÖNETMELİKTE DEĞİŞİKLİK</w:t>
      </w:r>
    </w:p>
    <w:p w14:paraId="488F881A" w14:textId="0E0B43A7" w:rsidR="00AE7E2A" w:rsidRDefault="00AE7E2A" w:rsidP="00AE7E2A">
      <w:pPr>
        <w:pStyle w:val="Balk2"/>
        <w:spacing w:line="276" w:lineRule="auto"/>
      </w:pPr>
      <w:r w:rsidRPr="00AE7E2A">
        <w:t>YAPILMASINA DAİR YÖNETMELİK</w:t>
      </w:r>
    </w:p>
    <w:p w14:paraId="612F0E5F" w14:textId="65472EE5" w:rsidR="00AE7E2A" w:rsidRDefault="00AE7E2A" w:rsidP="00AE7E2A">
      <w:pPr>
        <w:rPr>
          <w:lang w:eastAsia="tr-TR"/>
        </w:rPr>
      </w:pPr>
    </w:p>
    <w:p w14:paraId="76DF05F8" w14:textId="77777777" w:rsidR="00AE7E2A" w:rsidRPr="00AE7E2A" w:rsidRDefault="00AE7E2A" w:rsidP="00AE7E2A">
      <w:pPr>
        <w:rPr>
          <w:lang w:eastAsia="tr-TR"/>
        </w:rPr>
      </w:pPr>
    </w:p>
    <w:p w14:paraId="456538BE" w14:textId="77777777" w:rsidR="00AE7E2A" w:rsidRPr="00AE7E2A" w:rsidRDefault="00AE7E2A" w:rsidP="00AE7E2A">
      <w:pPr>
        <w:spacing w:line="276" w:lineRule="auto"/>
        <w:ind w:left="170"/>
        <w:rPr>
          <w:kern w:val="0"/>
          <w:lang w:eastAsia="tr-TR"/>
        </w:rPr>
      </w:pPr>
      <w:r w:rsidRPr="00AE7E2A">
        <w:rPr>
          <w:b/>
          <w:kern w:val="0"/>
          <w:lang w:eastAsia="tr-TR"/>
        </w:rPr>
        <w:t>MADDE 1 –</w:t>
      </w:r>
      <w:r w:rsidRPr="00AE7E2A">
        <w:rPr>
          <w:kern w:val="0"/>
          <w:lang w:eastAsia="tr-TR"/>
        </w:rPr>
        <w:t> </w:t>
      </w:r>
      <w:r w:rsidRPr="00AE7E2A">
        <w:rPr>
          <w:kern w:val="0"/>
          <w:lang w:eastAsia="tr-TR"/>
        </w:rPr>
        <w:t>13/3/2013</w:t>
      </w:r>
      <w:r w:rsidRPr="00AE7E2A">
        <w:rPr>
          <w:kern w:val="0"/>
          <w:lang w:eastAsia="tr-TR"/>
        </w:rPr>
        <w:t> tarihli ve 28586 sayılı Resmî Gazete’de yayımlanan Emeklilik Yatırım Fonlarının Kuruluş ve Faaliyetlerine İlişkin Esaslar Hakkında Yönetmeliğin 5 inci maddesinin üçüncü fıkrasının (d) bendi aşağıdaki şekilde değiştirilmiştir.</w:t>
      </w:r>
    </w:p>
    <w:p w14:paraId="573EAF0F" w14:textId="77777777" w:rsidR="00AE7E2A" w:rsidRPr="00AE7E2A" w:rsidRDefault="00AE7E2A" w:rsidP="00AE7E2A">
      <w:pPr>
        <w:spacing w:line="276" w:lineRule="auto"/>
        <w:ind w:left="170"/>
        <w:rPr>
          <w:kern w:val="0"/>
          <w:lang w:eastAsia="tr-TR"/>
        </w:rPr>
      </w:pPr>
      <w:r w:rsidRPr="00AE7E2A">
        <w:rPr>
          <w:kern w:val="0"/>
          <w:lang w:eastAsia="tr-TR"/>
        </w:rPr>
        <w:t>“d) </w:t>
      </w:r>
      <w:r w:rsidRPr="00AE7E2A">
        <w:rPr>
          <w:kern w:val="0"/>
          <w:lang w:eastAsia="tr-TR"/>
        </w:rPr>
        <w:t>Takasbank</w:t>
      </w:r>
      <w:r w:rsidRPr="00AE7E2A">
        <w:rPr>
          <w:kern w:val="0"/>
          <w:lang w:eastAsia="tr-TR"/>
        </w:rPr>
        <w:t> para piyasası işlemleri ve yurt içi organize para piyasası işlemleri,”</w:t>
      </w:r>
    </w:p>
    <w:p w14:paraId="352F457D" w14:textId="77777777" w:rsidR="00AE7E2A" w:rsidRDefault="00AE7E2A" w:rsidP="00AE7E2A">
      <w:pPr>
        <w:spacing w:line="276" w:lineRule="auto"/>
        <w:ind w:left="170"/>
        <w:rPr>
          <w:kern w:val="0"/>
          <w:lang w:eastAsia="tr-TR"/>
        </w:rPr>
      </w:pPr>
    </w:p>
    <w:p w14:paraId="1ACEAAB8" w14:textId="029F5291" w:rsidR="00AE7E2A" w:rsidRPr="00AE7E2A" w:rsidRDefault="00AE7E2A" w:rsidP="00AE7E2A">
      <w:pPr>
        <w:spacing w:line="276" w:lineRule="auto"/>
        <w:ind w:left="170"/>
        <w:rPr>
          <w:kern w:val="0"/>
          <w:lang w:eastAsia="tr-TR"/>
        </w:rPr>
      </w:pPr>
      <w:r w:rsidRPr="00AE7E2A">
        <w:rPr>
          <w:b/>
          <w:kern w:val="0"/>
          <w:lang w:eastAsia="tr-TR"/>
        </w:rPr>
        <w:t>MADDE 2 –</w:t>
      </w:r>
      <w:r w:rsidRPr="00AE7E2A">
        <w:rPr>
          <w:kern w:val="0"/>
          <w:lang w:eastAsia="tr-TR"/>
        </w:rPr>
        <w:t> Aynı Yönetmeliğin 22 </w:t>
      </w:r>
      <w:r w:rsidRPr="00AE7E2A">
        <w:rPr>
          <w:kern w:val="0"/>
          <w:lang w:eastAsia="tr-TR"/>
        </w:rPr>
        <w:t>nci</w:t>
      </w:r>
      <w:r w:rsidRPr="00AE7E2A">
        <w:rPr>
          <w:kern w:val="0"/>
          <w:lang w:eastAsia="tr-TR"/>
        </w:rPr>
        <w:t> maddesinin birinci fıkrasının (g) bendi aşağıdaki şekilde değiştirilmiştir.</w:t>
      </w:r>
    </w:p>
    <w:p w14:paraId="05780746" w14:textId="77777777" w:rsidR="00AE7E2A" w:rsidRPr="00AE7E2A" w:rsidRDefault="00AE7E2A" w:rsidP="00AE7E2A">
      <w:pPr>
        <w:spacing w:line="276" w:lineRule="auto"/>
        <w:ind w:left="170"/>
        <w:rPr>
          <w:kern w:val="0"/>
          <w:lang w:eastAsia="tr-TR"/>
        </w:rPr>
      </w:pPr>
      <w:r w:rsidRPr="00AE7E2A">
        <w:rPr>
          <w:kern w:val="0"/>
          <w:lang w:eastAsia="tr-TR"/>
        </w:rPr>
        <w:t>“g) Fon </w:t>
      </w:r>
      <w:r w:rsidRPr="00AE7E2A">
        <w:rPr>
          <w:kern w:val="0"/>
          <w:lang w:eastAsia="tr-TR"/>
        </w:rPr>
        <w:t>portföyünün</w:t>
      </w:r>
      <w:r w:rsidRPr="00AE7E2A">
        <w:rPr>
          <w:kern w:val="0"/>
          <w:lang w:eastAsia="tr-TR"/>
        </w:rPr>
        <w:t> en fazla %10’u </w:t>
      </w:r>
      <w:r w:rsidRPr="00AE7E2A">
        <w:rPr>
          <w:kern w:val="0"/>
          <w:lang w:eastAsia="tr-TR"/>
        </w:rPr>
        <w:t>Takasbank</w:t>
      </w:r>
      <w:r w:rsidRPr="00AE7E2A">
        <w:rPr>
          <w:kern w:val="0"/>
          <w:lang w:eastAsia="tr-TR"/>
        </w:rPr>
        <w:t> para piyasası ve yurt içi organize para piyasası işlemlerinde değerlendirilebilir.”</w:t>
      </w:r>
    </w:p>
    <w:p w14:paraId="496B2609" w14:textId="77777777" w:rsidR="00AE7E2A" w:rsidRDefault="00AE7E2A" w:rsidP="00AE7E2A">
      <w:pPr>
        <w:spacing w:line="276" w:lineRule="auto"/>
        <w:ind w:left="170"/>
        <w:rPr>
          <w:kern w:val="0"/>
          <w:lang w:eastAsia="tr-TR"/>
        </w:rPr>
      </w:pPr>
    </w:p>
    <w:p w14:paraId="68BBC545" w14:textId="7189AAD2" w:rsidR="00AE7E2A" w:rsidRPr="00AE7E2A" w:rsidRDefault="00AE7E2A" w:rsidP="00AE7E2A">
      <w:pPr>
        <w:spacing w:line="276" w:lineRule="auto"/>
        <w:ind w:left="170"/>
        <w:rPr>
          <w:kern w:val="0"/>
          <w:lang w:eastAsia="tr-TR"/>
        </w:rPr>
      </w:pPr>
      <w:r w:rsidRPr="00AE7E2A">
        <w:rPr>
          <w:b/>
          <w:kern w:val="0"/>
          <w:lang w:eastAsia="tr-TR"/>
        </w:rPr>
        <w:t>MADDE 3 –</w:t>
      </w:r>
      <w:r w:rsidRPr="00AE7E2A">
        <w:rPr>
          <w:kern w:val="0"/>
          <w:lang w:eastAsia="tr-TR"/>
        </w:rPr>
        <w:t> Aynı Yönetmeliğin 24 üncü maddesinden sonra gelmek üzere aşağıdaki madde eklenmiştir.</w:t>
      </w:r>
    </w:p>
    <w:p w14:paraId="068BD4CB" w14:textId="77777777" w:rsidR="00AE7E2A" w:rsidRPr="00AE7E2A" w:rsidRDefault="00AE7E2A" w:rsidP="00AE7E2A">
      <w:pPr>
        <w:spacing w:line="276" w:lineRule="auto"/>
        <w:ind w:left="170"/>
        <w:rPr>
          <w:b/>
          <w:kern w:val="0"/>
          <w:lang w:eastAsia="tr-TR"/>
        </w:rPr>
      </w:pPr>
      <w:r w:rsidRPr="00AE7E2A">
        <w:rPr>
          <w:kern w:val="0"/>
          <w:lang w:eastAsia="tr-TR"/>
        </w:rPr>
        <w:t>“</w:t>
      </w:r>
      <w:r w:rsidRPr="00AE7E2A">
        <w:rPr>
          <w:b/>
          <w:kern w:val="0"/>
          <w:lang w:eastAsia="tr-TR"/>
        </w:rPr>
        <w:t>İşverenleri aracılığıyla Kanunun Ek-2 </w:t>
      </w:r>
      <w:r w:rsidRPr="00AE7E2A">
        <w:rPr>
          <w:b/>
          <w:kern w:val="0"/>
          <w:lang w:eastAsia="tr-TR"/>
        </w:rPr>
        <w:t>nci</w:t>
      </w:r>
      <w:r w:rsidRPr="00AE7E2A">
        <w:rPr>
          <w:b/>
          <w:kern w:val="0"/>
          <w:lang w:eastAsia="tr-TR"/>
        </w:rPr>
        <w:t> ve Geçici 2 </w:t>
      </w:r>
      <w:r w:rsidRPr="00AE7E2A">
        <w:rPr>
          <w:b/>
          <w:kern w:val="0"/>
          <w:lang w:eastAsia="tr-TR"/>
        </w:rPr>
        <w:t>nci</w:t>
      </w:r>
      <w:r w:rsidRPr="00AE7E2A">
        <w:rPr>
          <w:b/>
          <w:kern w:val="0"/>
          <w:lang w:eastAsia="tr-TR"/>
        </w:rPr>
        <w:t> maddeleri kapsamında bireysel emeklilik sistemine </w:t>
      </w:r>
      <w:r w:rsidRPr="00AE7E2A">
        <w:rPr>
          <w:b/>
          <w:kern w:val="0"/>
          <w:lang w:eastAsia="tr-TR"/>
        </w:rPr>
        <w:t>dahil</w:t>
      </w:r>
      <w:r w:rsidRPr="00AE7E2A">
        <w:rPr>
          <w:b/>
          <w:kern w:val="0"/>
          <w:lang w:eastAsia="tr-TR"/>
        </w:rPr>
        <w:t> edilen katılımcıların katkı paylarının değerlendirileceği fonlara ilişkin özel hükümler</w:t>
      </w:r>
    </w:p>
    <w:p w14:paraId="3D6F125D" w14:textId="77777777" w:rsidR="00AE7E2A" w:rsidRPr="00AE7E2A" w:rsidRDefault="00AE7E2A" w:rsidP="00AE7E2A">
      <w:pPr>
        <w:spacing w:line="276" w:lineRule="auto"/>
        <w:ind w:left="170"/>
        <w:rPr>
          <w:kern w:val="0"/>
          <w:lang w:eastAsia="tr-TR"/>
        </w:rPr>
      </w:pPr>
      <w:r w:rsidRPr="00AE7E2A">
        <w:rPr>
          <w:b/>
          <w:kern w:val="0"/>
          <w:lang w:eastAsia="tr-TR"/>
        </w:rPr>
        <w:t>MADDE 24/A –</w:t>
      </w:r>
      <w:r w:rsidRPr="00AE7E2A">
        <w:rPr>
          <w:kern w:val="0"/>
          <w:lang w:eastAsia="tr-TR"/>
        </w:rPr>
        <w:t> (1) İşvereni aracılığıyla bireysel emeklilik sistemine dâhil edilen katılımcılar tarafından veya katılımcılar adına faizsiz yatırım aracı tercihinde bulunulması halinde, iki aylık cayma süresini de kapsayacak şekilde Müsteşarlık düzenlemeleri uyarınca belirlenecek dönemde katkı paylarının yatırıma yönlendirileceği fonun, </w:t>
      </w:r>
      <w:r w:rsidRPr="00AE7E2A">
        <w:rPr>
          <w:kern w:val="0"/>
          <w:lang w:eastAsia="tr-TR"/>
        </w:rPr>
        <w:t>portföyünün</w:t>
      </w:r>
      <w:r w:rsidRPr="00AE7E2A">
        <w:rPr>
          <w:kern w:val="0"/>
          <w:lang w:eastAsia="tr-TR"/>
        </w:rPr>
        <w:t> tamamı katılma hesaplarından oluşabilir. Ancak söz konusu fon için, tek bir bankada değerlendirilebilecek tutar fon </w:t>
      </w:r>
      <w:r w:rsidRPr="00AE7E2A">
        <w:rPr>
          <w:kern w:val="0"/>
          <w:lang w:eastAsia="tr-TR"/>
        </w:rPr>
        <w:t>portföyünün</w:t>
      </w:r>
      <w:r w:rsidRPr="00AE7E2A">
        <w:rPr>
          <w:kern w:val="0"/>
          <w:lang w:eastAsia="tr-TR"/>
        </w:rPr>
        <w:t> %35’ini aşamaz.</w:t>
      </w:r>
    </w:p>
    <w:p w14:paraId="6920507A" w14:textId="77777777" w:rsidR="00AE7E2A" w:rsidRPr="00AE7E2A" w:rsidRDefault="00AE7E2A" w:rsidP="00AE7E2A">
      <w:pPr>
        <w:spacing w:line="276" w:lineRule="auto"/>
        <w:ind w:left="170"/>
        <w:rPr>
          <w:kern w:val="0"/>
          <w:lang w:eastAsia="tr-TR"/>
        </w:rPr>
      </w:pPr>
      <w:r w:rsidRPr="00AE7E2A">
        <w:rPr>
          <w:kern w:val="0"/>
          <w:lang w:eastAsia="tr-TR"/>
        </w:rPr>
        <w:t>(2) Birinci fıkranın kapsamı dışındaki katılımcılar tarafından veya katılımcılar adına iki aylık cayma süresini de kapsayacak şekilde Müsteşarlık düzenlemeleri uyarınca belirlenecek dönemde katkı paylarının yatırıma yönlendirileceği fonun </w:t>
      </w:r>
      <w:r w:rsidRPr="00AE7E2A">
        <w:rPr>
          <w:kern w:val="0"/>
          <w:lang w:eastAsia="tr-TR"/>
        </w:rPr>
        <w:t>portföyünün</w:t>
      </w:r>
      <w:r w:rsidRPr="00AE7E2A">
        <w:rPr>
          <w:kern w:val="0"/>
          <w:lang w:eastAsia="tr-TR"/>
        </w:rPr>
        <w:t> tamamı vadeli mevduat/katılma hesaplarından oluşabilir. Ancak söz konusu fon için, tek bir bankada değerlendirilebilecek tutar fon </w:t>
      </w:r>
      <w:r w:rsidRPr="00AE7E2A">
        <w:rPr>
          <w:kern w:val="0"/>
          <w:lang w:eastAsia="tr-TR"/>
        </w:rPr>
        <w:t>portföyünün</w:t>
      </w:r>
      <w:r w:rsidRPr="00AE7E2A">
        <w:rPr>
          <w:kern w:val="0"/>
          <w:lang w:eastAsia="tr-TR"/>
        </w:rPr>
        <w:t> %10’unu aşamaz.</w:t>
      </w:r>
    </w:p>
    <w:p w14:paraId="17BC383B" w14:textId="77777777" w:rsidR="00AE7E2A" w:rsidRPr="00AE7E2A" w:rsidRDefault="00AE7E2A" w:rsidP="00AE7E2A">
      <w:pPr>
        <w:spacing w:line="276" w:lineRule="auto"/>
        <w:ind w:left="170"/>
        <w:rPr>
          <w:kern w:val="0"/>
          <w:lang w:eastAsia="tr-TR"/>
        </w:rPr>
      </w:pPr>
      <w:r w:rsidRPr="00AE7E2A">
        <w:rPr>
          <w:kern w:val="0"/>
          <w:lang w:eastAsia="tr-TR"/>
        </w:rPr>
        <w:t>(3) Katkı paylarının faizsiz yatırım aracında değerlendirilmesini talep eden katılımcılar tarafından veya katılımcılar adına, katkı paylarının yönlendirileceği standart emeklilik yatırım fonu için, fon </w:t>
      </w:r>
      <w:r w:rsidRPr="00AE7E2A">
        <w:rPr>
          <w:kern w:val="0"/>
          <w:lang w:eastAsia="tr-TR"/>
        </w:rPr>
        <w:t>portföyünün</w:t>
      </w:r>
      <w:r w:rsidRPr="00AE7E2A">
        <w:rPr>
          <w:kern w:val="0"/>
          <w:lang w:eastAsia="tr-TR"/>
        </w:rPr>
        <w:t> en fazla %40’ı katılma hesaplarında değerlendirilebilir. Ancak tek bir bankada değerlendirilebilecek tutar fon </w:t>
      </w:r>
      <w:r w:rsidRPr="00AE7E2A">
        <w:rPr>
          <w:kern w:val="0"/>
          <w:lang w:eastAsia="tr-TR"/>
        </w:rPr>
        <w:t>portföyünün</w:t>
      </w:r>
      <w:r w:rsidRPr="00AE7E2A">
        <w:rPr>
          <w:kern w:val="0"/>
          <w:lang w:eastAsia="tr-TR"/>
        </w:rPr>
        <w:t> %15’ini aşamaz.</w:t>
      </w:r>
    </w:p>
    <w:p w14:paraId="2AC5F618" w14:textId="77777777" w:rsidR="00AE7E2A" w:rsidRPr="00AE7E2A" w:rsidRDefault="00AE7E2A" w:rsidP="00AE7E2A">
      <w:pPr>
        <w:spacing w:line="276" w:lineRule="auto"/>
        <w:ind w:left="170"/>
        <w:rPr>
          <w:kern w:val="0"/>
          <w:lang w:eastAsia="tr-TR"/>
        </w:rPr>
      </w:pPr>
      <w:r w:rsidRPr="00AE7E2A">
        <w:rPr>
          <w:kern w:val="0"/>
          <w:lang w:eastAsia="tr-TR"/>
        </w:rPr>
        <w:t>(4) Üçüncü fıkranın kapsamı dışındaki katılımcılar tarafından veya katılımcılar adına katkı paylarının yönlendirileceği standart emeklilik yatırım fonu için, fon </w:t>
      </w:r>
      <w:r w:rsidRPr="00AE7E2A">
        <w:rPr>
          <w:kern w:val="0"/>
          <w:lang w:eastAsia="tr-TR"/>
        </w:rPr>
        <w:t>portföyünün</w:t>
      </w:r>
      <w:r w:rsidRPr="00AE7E2A">
        <w:rPr>
          <w:kern w:val="0"/>
          <w:lang w:eastAsia="tr-TR"/>
        </w:rPr>
        <w:t> en fazla %40’ı vadeli mevduat/katılma hesaplarında değerlendirilebilir. Ancak tek bir bankada değerlendirilebilecek tutar fon </w:t>
      </w:r>
      <w:r w:rsidRPr="00AE7E2A">
        <w:rPr>
          <w:kern w:val="0"/>
          <w:lang w:eastAsia="tr-TR"/>
        </w:rPr>
        <w:t>portföyünün</w:t>
      </w:r>
      <w:r w:rsidRPr="00AE7E2A">
        <w:rPr>
          <w:kern w:val="0"/>
          <w:lang w:eastAsia="tr-TR"/>
        </w:rPr>
        <w:t> %6’sını aşamaz.</w:t>
      </w:r>
    </w:p>
    <w:p w14:paraId="077EB536" w14:textId="77777777" w:rsidR="00AE7E2A" w:rsidRPr="00AE7E2A" w:rsidRDefault="00AE7E2A" w:rsidP="00AE7E2A">
      <w:pPr>
        <w:spacing w:line="276" w:lineRule="auto"/>
        <w:ind w:left="170"/>
        <w:rPr>
          <w:kern w:val="0"/>
          <w:lang w:eastAsia="tr-TR"/>
        </w:rPr>
      </w:pPr>
      <w:r w:rsidRPr="00AE7E2A">
        <w:rPr>
          <w:kern w:val="0"/>
          <w:lang w:eastAsia="tr-TR"/>
        </w:rPr>
        <w:t>(5) Portföy sınırlamalarına ve işlemlerine ilişkin olarak diğer hususlarda, bu fonlara ilişkin özel düzenlemeler saklı kalmak kaydıyla, 22 </w:t>
      </w:r>
      <w:r w:rsidRPr="00AE7E2A">
        <w:rPr>
          <w:kern w:val="0"/>
          <w:lang w:eastAsia="tr-TR"/>
        </w:rPr>
        <w:t>nci</w:t>
      </w:r>
      <w:r w:rsidRPr="00AE7E2A">
        <w:rPr>
          <w:kern w:val="0"/>
          <w:lang w:eastAsia="tr-TR"/>
        </w:rPr>
        <w:t> ve 23 üncü madde hükümleri uygulanır.”</w:t>
      </w:r>
    </w:p>
    <w:p w14:paraId="26255365" w14:textId="77777777" w:rsidR="00AE7E2A" w:rsidRPr="00AE7E2A" w:rsidRDefault="00AE7E2A" w:rsidP="00AE7E2A">
      <w:pPr>
        <w:spacing w:line="276" w:lineRule="auto"/>
        <w:ind w:left="170"/>
        <w:rPr>
          <w:b/>
          <w:kern w:val="0"/>
          <w:lang w:eastAsia="tr-TR"/>
        </w:rPr>
      </w:pPr>
    </w:p>
    <w:p w14:paraId="22FA9ED4" w14:textId="2E9F08E7" w:rsidR="00AE7E2A" w:rsidRPr="00AE7E2A" w:rsidRDefault="00AE7E2A" w:rsidP="00AE7E2A">
      <w:pPr>
        <w:spacing w:line="276" w:lineRule="auto"/>
        <w:ind w:left="170"/>
        <w:rPr>
          <w:kern w:val="0"/>
          <w:lang w:eastAsia="tr-TR"/>
        </w:rPr>
      </w:pPr>
      <w:r w:rsidRPr="00AE7E2A">
        <w:rPr>
          <w:b/>
          <w:kern w:val="0"/>
          <w:lang w:eastAsia="tr-TR"/>
        </w:rPr>
        <w:t>MADDE 4 –</w:t>
      </w:r>
      <w:r w:rsidRPr="00AE7E2A">
        <w:rPr>
          <w:kern w:val="0"/>
          <w:lang w:eastAsia="tr-TR"/>
        </w:rPr>
        <w:t> Bu Yönetmelik yayımı tarihinde yürürlüğe girer.</w:t>
      </w:r>
    </w:p>
    <w:p w14:paraId="093AB63D" w14:textId="77777777" w:rsidR="00AE7E2A" w:rsidRDefault="00AE7E2A" w:rsidP="00AE7E2A">
      <w:pPr>
        <w:spacing w:line="276" w:lineRule="auto"/>
        <w:ind w:left="170"/>
        <w:rPr>
          <w:kern w:val="0"/>
          <w:lang w:eastAsia="tr-TR"/>
        </w:rPr>
      </w:pPr>
    </w:p>
    <w:p w14:paraId="03ABE610" w14:textId="00FD1C7E" w:rsidR="00AE7E2A" w:rsidRPr="00AE7E2A" w:rsidRDefault="00AE7E2A" w:rsidP="00AE7E2A">
      <w:pPr>
        <w:spacing w:line="276" w:lineRule="auto"/>
        <w:ind w:left="170"/>
        <w:rPr>
          <w:kern w:val="0"/>
          <w:lang w:eastAsia="tr-TR"/>
        </w:rPr>
      </w:pPr>
      <w:r w:rsidRPr="00AE7E2A">
        <w:rPr>
          <w:b/>
          <w:kern w:val="0"/>
          <w:lang w:eastAsia="tr-TR"/>
        </w:rPr>
        <w:t>MADDE 5 –</w:t>
      </w:r>
      <w:r w:rsidRPr="00AE7E2A">
        <w:rPr>
          <w:kern w:val="0"/>
          <w:lang w:eastAsia="tr-TR"/>
        </w:rPr>
        <w:t> Bu Yönetmelik hükümlerini Sermaye Piyasası Kurulu yürütür.</w:t>
      </w:r>
    </w:p>
    <w:p w14:paraId="61415924" w14:textId="1DCB7B0F" w:rsidR="00626E7B" w:rsidRDefault="00626E7B"/>
    <w:sectPr w:rsidR="00626E7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03FEF" w14:textId="77777777" w:rsidR="00AE7E2A" w:rsidRDefault="00AE7E2A" w:rsidP="00AE7E2A">
      <w:r>
        <w:separator/>
      </w:r>
    </w:p>
  </w:endnote>
  <w:endnote w:type="continuationSeparator" w:id="0">
    <w:p w14:paraId="2F20D0D3" w14:textId="77777777" w:rsidR="00AE7E2A" w:rsidRDefault="00AE7E2A" w:rsidP="00AE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E51CB" w14:textId="090D2B43" w:rsidR="00AE7E2A" w:rsidRPr="007E663F" w:rsidRDefault="007E663F" w:rsidP="007E663F">
    <w:pPr>
      <w:pStyle w:val="AltBilgi"/>
      <w:jc w:val="left"/>
    </w:pPr>
    <w:fldSimple w:instr=" DOCPROPERTY bjFooterEvenPageDocProperty \* MERGEFORMAT " w:fldLock="1">
      <w:r w:rsidRPr="00992561">
        <w:rPr>
          <w:rFonts w:ascii="Malgun Gothic" w:eastAsia="Malgun Gothic" w:hAnsi="Malgun Gothic"/>
          <w:b/>
          <w:bCs/>
          <w:color w:val="999999"/>
        </w:rPr>
        <w:t>Sınıflandırma|</w:t>
      </w:r>
      <w:r w:rsidRPr="00992561">
        <w:rPr>
          <w:rFonts w:ascii="Malgun Gothic" w:eastAsia="Malgun Gothic" w:hAnsi="Malgun Gothic"/>
          <w:b/>
          <w:bCs/>
          <w:color w:val="339966"/>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0AA78" w14:textId="3147BFA3" w:rsidR="00AE7E2A" w:rsidRPr="007E663F" w:rsidRDefault="007E663F" w:rsidP="007E663F">
    <w:pPr>
      <w:pStyle w:val="AltBilgi"/>
      <w:jc w:val="left"/>
    </w:pPr>
    <w:fldSimple w:instr=" DOCPROPERTY bjFooterBothDocProperty \* MERGEFORMAT " w:fldLock="1">
      <w:r w:rsidRPr="00992561">
        <w:rPr>
          <w:rFonts w:ascii="Malgun Gothic" w:eastAsia="Malgun Gothic" w:hAnsi="Malgun Gothic"/>
          <w:b/>
          <w:bCs/>
          <w:color w:val="999999"/>
        </w:rPr>
        <w:t>Sınıflandırma|</w:t>
      </w:r>
      <w:r w:rsidRPr="00992561">
        <w:rPr>
          <w:rFonts w:ascii="Malgun Gothic" w:eastAsia="Malgun Gothic" w:hAnsi="Malgun Gothic"/>
          <w:b/>
          <w:bCs/>
          <w:color w:val="339966"/>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B9C4" w14:textId="2B396439" w:rsidR="00AE7E2A" w:rsidRPr="007E663F" w:rsidRDefault="007E663F" w:rsidP="007E663F">
    <w:pPr>
      <w:pStyle w:val="AltBilgi"/>
      <w:jc w:val="left"/>
    </w:pPr>
    <w:fldSimple w:instr=" DOCPROPERTY bjFooterFirstPageDocProperty \* MERGEFORMAT " w:fldLock="1">
      <w:r w:rsidRPr="00992561">
        <w:rPr>
          <w:rFonts w:ascii="Malgun Gothic" w:eastAsia="Malgun Gothic" w:hAnsi="Malgun Gothic"/>
          <w:b/>
          <w:bCs/>
          <w:color w:val="999999"/>
        </w:rPr>
        <w:t>Sınıflandırma|</w:t>
      </w:r>
      <w:r w:rsidRPr="00992561">
        <w:rPr>
          <w:rFonts w:ascii="Malgun Gothic" w:eastAsia="Malgun Gothic" w:hAnsi="Malgun Gothic"/>
          <w:b/>
          <w:bCs/>
          <w:color w:val="339966"/>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E2B81" w14:textId="77777777" w:rsidR="00AE7E2A" w:rsidRDefault="00AE7E2A" w:rsidP="00AE7E2A">
      <w:r>
        <w:separator/>
      </w:r>
    </w:p>
  </w:footnote>
  <w:footnote w:type="continuationSeparator" w:id="0">
    <w:p w14:paraId="0E28F119" w14:textId="77777777" w:rsidR="00AE7E2A" w:rsidRDefault="00AE7E2A" w:rsidP="00AE7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16D19" w14:textId="77777777" w:rsidR="00AE7E2A" w:rsidRDefault="00AE7E2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D9C26" w14:textId="77777777" w:rsidR="00AE7E2A" w:rsidRDefault="00AE7E2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19890" w14:textId="77777777" w:rsidR="00AE7E2A" w:rsidRDefault="00AE7E2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CE"/>
    <w:rsid w:val="00052ACE"/>
    <w:rsid w:val="00626E7B"/>
    <w:rsid w:val="007E663F"/>
    <w:rsid w:val="00AE7E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EE945"/>
  <w15:chartTrackingRefBased/>
  <w15:docId w15:val="{E2F5FC42-7A91-43E0-8D85-8B1C132F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E2A"/>
    <w:pPr>
      <w:spacing w:after="0" w:line="240" w:lineRule="auto"/>
      <w:jc w:val="both"/>
    </w:pPr>
    <w:rPr>
      <w:rFonts w:ascii="Arial" w:hAnsi="Arial" w:cs="Arial"/>
      <w:color w:val="000000"/>
      <w:kern w:val="16"/>
      <w:sz w:val="20"/>
      <w:szCs w:val="20"/>
    </w:rPr>
  </w:style>
  <w:style w:type="paragraph" w:styleId="Balk1">
    <w:name w:val="heading 1"/>
    <w:basedOn w:val="Normal"/>
    <w:next w:val="Normal"/>
    <w:link w:val="Balk1Char"/>
    <w:qFormat/>
    <w:rsid w:val="00AE7E2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autoRedefine/>
    <w:uiPriority w:val="9"/>
    <w:unhideWhenUsed/>
    <w:qFormat/>
    <w:rsid w:val="00AE7E2A"/>
    <w:pPr>
      <w:keepNext/>
      <w:widowControl w:val="0"/>
      <w:spacing w:line="260" w:lineRule="atLeast"/>
      <w:ind w:right="17"/>
      <w:jc w:val="center"/>
      <w:outlineLvl w:val="1"/>
    </w:pPr>
    <w:rPr>
      <w:rFonts w:eastAsia="Cambri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E7E2A"/>
    <w:rPr>
      <w:rFonts w:asciiTheme="majorHAnsi" w:eastAsiaTheme="majorEastAsia" w:hAnsiTheme="majorHAnsi" w:cstheme="majorBidi"/>
      <w:color w:val="2F5496" w:themeColor="accent1" w:themeShade="BF"/>
      <w:kern w:val="16"/>
      <w:sz w:val="32"/>
      <w:szCs w:val="32"/>
    </w:rPr>
  </w:style>
  <w:style w:type="paragraph" w:customStyle="1" w:styleId="ortabalkbold">
    <w:name w:val="ortabalkbold"/>
    <w:basedOn w:val="Normal"/>
    <w:rsid w:val="00AE7E2A"/>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metin">
    <w:name w:val="metin"/>
    <w:basedOn w:val="Normal"/>
    <w:rsid w:val="00AE7E2A"/>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character" w:customStyle="1" w:styleId="grame">
    <w:name w:val="grame"/>
    <w:basedOn w:val="VarsaylanParagrafYazTipi"/>
    <w:rsid w:val="00AE7E2A"/>
  </w:style>
  <w:style w:type="character" w:customStyle="1" w:styleId="spelle">
    <w:name w:val="spelle"/>
    <w:basedOn w:val="VarsaylanParagrafYazTipi"/>
    <w:rsid w:val="00AE7E2A"/>
  </w:style>
  <w:style w:type="character" w:customStyle="1" w:styleId="Balk2Char">
    <w:name w:val="Başlık 2 Char"/>
    <w:basedOn w:val="VarsaylanParagrafYazTipi"/>
    <w:link w:val="Balk2"/>
    <w:uiPriority w:val="9"/>
    <w:rsid w:val="00AE7E2A"/>
    <w:rPr>
      <w:rFonts w:ascii="Arial" w:eastAsia="Cambria" w:hAnsi="Arial" w:cs="Arial"/>
      <w:b/>
      <w:bCs/>
      <w:color w:val="000000"/>
      <w:kern w:val="16"/>
      <w:sz w:val="24"/>
      <w:szCs w:val="24"/>
      <w:lang w:eastAsia="tr-TR"/>
    </w:rPr>
  </w:style>
  <w:style w:type="paragraph" w:styleId="stBilgi">
    <w:name w:val="header"/>
    <w:basedOn w:val="Normal"/>
    <w:link w:val="stBilgiChar"/>
    <w:uiPriority w:val="99"/>
    <w:unhideWhenUsed/>
    <w:rsid w:val="00AE7E2A"/>
    <w:pPr>
      <w:tabs>
        <w:tab w:val="center" w:pos="4536"/>
        <w:tab w:val="right" w:pos="9072"/>
      </w:tabs>
    </w:pPr>
  </w:style>
  <w:style w:type="character" w:customStyle="1" w:styleId="stBilgiChar">
    <w:name w:val="Üst Bilgi Char"/>
    <w:basedOn w:val="VarsaylanParagrafYazTipi"/>
    <w:link w:val="stBilgi"/>
    <w:uiPriority w:val="99"/>
    <w:rsid w:val="00AE7E2A"/>
    <w:rPr>
      <w:rFonts w:ascii="Arial" w:hAnsi="Arial" w:cs="Arial"/>
      <w:color w:val="000000"/>
      <w:kern w:val="16"/>
      <w:sz w:val="20"/>
      <w:szCs w:val="20"/>
    </w:rPr>
  </w:style>
  <w:style w:type="paragraph" w:styleId="AltBilgi">
    <w:name w:val="footer"/>
    <w:basedOn w:val="Normal"/>
    <w:link w:val="AltBilgiChar"/>
    <w:uiPriority w:val="99"/>
    <w:unhideWhenUsed/>
    <w:rsid w:val="00AE7E2A"/>
    <w:pPr>
      <w:tabs>
        <w:tab w:val="center" w:pos="4536"/>
        <w:tab w:val="right" w:pos="9072"/>
      </w:tabs>
    </w:pPr>
  </w:style>
  <w:style w:type="character" w:customStyle="1" w:styleId="AltBilgiChar">
    <w:name w:val="Alt Bilgi Char"/>
    <w:basedOn w:val="VarsaylanParagrafYazTipi"/>
    <w:link w:val="AltBilgi"/>
    <w:uiPriority w:val="99"/>
    <w:rsid w:val="00AE7E2A"/>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90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134DD9FF-8823-4DD5-BFA9-8112FF9E5A7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448</Words>
  <Characters>2556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3</cp:revision>
  <cp:lastPrinted>2023-05-11T14:15:00Z</cp:lastPrinted>
  <dcterms:created xsi:type="dcterms:W3CDTF">2023-05-11T14:11:00Z</dcterms:created>
  <dcterms:modified xsi:type="dcterms:W3CDTF">2023-05-11T14:16:00Z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98b7aba8-4b98-4152-92b5-295dd9f1e210</vt:lpwstr>
  </property>
  <property fmtid="{D5CDD505-2E9C-101B-9397-08002B2CF9AE}" pid="3"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4" name="bjDocumentLabelXML-0">
    <vt:lpwstr>ames.com/2008/01/sie/internal/label"&gt;&lt;element uid="16f479a6-fc80-474c-ab11-d67f073bb2c9" value="" /&gt;&lt;/sisl&gt;</vt:lpwstr>
  </property>
  <property fmtid="{D5CDD505-2E9C-101B-9397-08002B2CF9AE}" pid="5" name="bjDocumentSecurityLabel">
    <vt:lpwstr>Bu iletinin sınıflandırması Genel</vt:lpwstr>
  </property>
  <property fmtid="{D5CDD505-2E9C-101B-9397-08002B2CF9AE}" pid="6" name="bjClsUserRVM">
    <vt:lpwstr>[]</vt:lpwstr>
  </property>
  <property fmtid="{D5CDD505-2E9C-101B-9397-08002B2CF9AE}" pid="7" name="bjFooterBothDocProperty">
    <vt:lpwstr>Sınıflandırma|Genel</vt:lpwstr>
  </property>
  <property fmtid="{D5CDD505-2E9C-101B-9397-08002B2CF9AE}" pid="8" name="bjFooterFirstPageDocProperty">
    <vt:lpwstr>Sınıflandırma|Genel</vt:lpwstr>
  </property>
  <property fmtid="{D5CDD505-2E9C-101B-9397-08002B2CF9AE}" pid="9" name="bjFooterEvenPageDocProperty">
    <vt:lpwstr>Sınıflandırma|Genel</vt:lpwstr>
  </property>
  <property fmtid="{D5CDD505-2E9C-101B-9397-08002B2CF9AE}" pid="10" name="bjSaver">
    <vt:lpwstr>iZryUG4O9W7v4YkSJ4oIH8Eo71bnL+pl</vt:lpwstr>
  </property>
</Properties>
</file>