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4D3E" w14:textId="77777777" w:rsidR="00FB780B" w:rsidRPr="00FB780B" w:rsidRDefault="00FB780B" w:rsidP="00FB780B">
      <w:pPr>
        <w:pStyle w:val="Balk2"/>
      </w:pPr>
      <w:bookmarkStart w:id="0" w:name="_Toc105418547"/>
      <w:bookmarkStart w:id="1" w:name="_Hlk134199293"/>
      <w:r w:rsidRPr="00FB780B">
        <w:t>DİJİTAL HİZMET VERGİSİ İLE BAZI KANUNLARDA VE 375 SAYILI KANUN HÜKMÜNDE KARARNAMEDE DEĞİŞİKLİK YAPILMASI HAKKINDA KANUN</w:t>
      </w:r>
      <w:bookmarkEnd w:id="0"/>
      <w:r w:rsidRPr="00FB780B">
        <w:t xml:space="preserve"> </w:t>
      </w:r>
      <w:bookmarkEnd w:id="1"/>
    </w:p>
    <w:p w14:paraId="500BF72A" w14:textId="55BC4B8C" w:rsidR="00FB780B" w:rsidRPr="00FB780B" w:rsidRDefault="00FB780B" w:rsidP="00FB780B">
      <w:pPr>
        <w:pStyle w:val="Balk2"/>
      </w:pPr>
      <w:r w:rsidRPr="00FB780B">
        <w:t>(İlgili Maddeler)</w:t>
      </w:r>
    </w:p>
    <w:p w14:paraId="7615ED95" w14:textId="77777777" w:rsidR="00FB780B" w:rsidRPr="00FB780B" w:rsidRDefault="00FB780B" w:rsidP="00FB780B">
      <w:pPr>
        <w:spacing w:line="240" w:lineRule="atLeast"/>
        <w:jc w:val="center"/>
        <w:rPr>
          <w:rFonts w:ascii="Arial" w:hAnsi="Arial" w:cs="Arial"/>
          <w:b/>
          <w:bCs/>
          <w:noProof w:val="0"/>
          <w:kern w:val="0"/>
          <w:position w:val="0"/>
          <w:lang w:eastAsia="tr-TR"/>
        </w:rPr>
      </w:pPr>
      <w:r w:rsidRPr="00FB780B">
        <w:rPr>
          <w:rFonts w:ascii="Arial" w:hAnsi="Arial" w:cs="Arial"/>
          <w:b/>
          <w:bCs/>
          <w:noProof w:val="0"/>
          <w:kern w:val="0"/>
          <w:position w:val="0"/>
          <w:lang w:eastAsia="tr-TR"/>
        </w:rPr>
        <w:t> </w:t>
      </w:r>
    </w:p>
    <w:p w14:paraId="125DF92E" w14:textId="1D6FDE36" w:rsidR="00FB780B" w:rsidRPr="006A6CC2" w:rsidRDefault="00FB780B" w:rsidP="00FB780B">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w:t>
      </w:r>
      <w:r>
        <w:rPr>
          <w:rFonts w:ascii="Arial" w:eastAsia="ヒラギノ明朝 Pro W3" w:hAnsi="Arial" w:cs="Arial"/>
          <w:b/>
          <w:noProof w:val="0"/>
          <w:color w:val="000000"/>
          <w:kern w:val="0"/>
          <w:position w:val="0"/>
          <w:sz w:val="20"/>
          <w:szCs w:val="20"/>
          <w:u w:val="single"/>
        </w:rPr>
        <w:t>7194</w:t>
      </w:r>
      <w:r w:rsidRPr="006A6CC2">
        <w:rPr>
          <w:rFonts w:ascii="Arial" w:eastAsia="ヒラギノ明朝 Pro W3" w:hAnsi="Arial" w:cs="Arial"/>
          <w:b/>
          <w:noProof w:val="0"/>
          <w:color w:val="000000"/>
          <w:kern w:val="0"/>
          <w:position w:val="0"/>
          <w:sz w:val="20"/>
          <w:szCs w:val="20"/>
        </w:rPr>
        <w:tab/>
      </w:r>
      <w:r>
        <w:rPr>
          <w:rFonts w:ascii="Arial" w:eastAsia="ヒラギノ明朝 Pro W3" w:hAnsi="Arial" w:cs="Arial"/>
          <w:b/>
          <w:noProof w:val="0"/>
          <w:color w:val="000000"/>
          <w:kern w:val="0"/>
          <w:position w:val="0"/>
          <w:sz w:val="20"/>
          <w:szCs w:val="20"/>
        </w:rPr>
        <w:t xml:space="preserve"> </w:t>
      </w:r>
      <w:r w:rsidRPr="006A6CC2">
        <w:rPr>
          <w:rFonts w:ascii="Arial" w:eastAsia="ヒラギノ明朝 Pro W3" w:hAnsi="Arial" w:cs="Arial"/>
          <w:b/>
          <w:noProof w:val="0"/>
          <w:color w:val="000000"/>
          <w:kern w:val="0"/>
          <w:position w:val="0"/>
          <w:sz w:val="20"/>
          <w:szCs w:val="20"/>
          <w:u w:val="single"/>
        </w:rPr>
        <w:t xml:space="preserve">Kabul Tarihi: </w:t>
      </w:r>
      <w:r w:rsidR="00446E95">
        <w:rPr>
          <w:rFonts w:ascii="Arial" w:eastAsia="ヒラギノ明朝 Pro W3" w:hAnsi="Arial" w:cs="Arial"/>
          <w:b/>
          <w:noProof w:val="0"/>
          <w:color w:val="000000"/>
          <w:kern w:val="0"/>
          <w:position w:val="0"/>
          <w:sz w:val="20"/>
          <w:szCs w:val="20"/>
          <w:u w:val="single"/>
        </w:rPr>
        <w:t>0</w:t>
      </w:r>
      <w:r>
        <w:rPr>
          <w:rFonts w:ascii="Arial" w:eastAsia="ヒラギノ明朝 Pro W3" w:hAnsi="Arial" w:cs="Arial"/>
          <w:b/>
          <w:noProof w:val="0"/>
          <w:color w:val="000000"/>
          <w:kern w:val="0"/>
          <w:position w:val="0"/>
          <w:sz w:val="20"/>
          <w:szCs w:val="20"/>
          <w:u w:val="single"/>
        </w:rPr>
        <w:t>5</w:t>
      </w:r>
      <w:r w:rsidR="00446E95">
        <w:rPr>
          <w:rFonts w:ascii="Arial" w:eastAsia="ヒラギノ明朝 Pro W3" w:hAnsi="Arial" w:cs="Arial"/>
          <w:b/>
          <w:noProof w:val="0"/>
          <w:color w:val="000000"/>
          <w:kern w:val="0"/>
          <w:position w:val="0"/>
          <w:sz w:val="20"/>
          <w:szCs w:val="20"/>
          <w:u w:val="single"/>
        </w:rPr>
        <w:t>.</w:t>
      </w:r>
      <w:r>
        <w:rPr>
          <w:rFonts w:ascii="Arial" w:eastAsia="ヒラギノ明朝 Pro W3" w:hAnsi="Arial" w:cs="Arial"/>
          <w:b/>
          <w:noProof w:val="0"/>
          <w:color w:val="000000"/>
          <w:kern w:val="0"/>
          <w:position w:val="0"/>
          <w:sz w:val="20"/>
          <w:szCs w:val="20"/>
          <w:u w:val="single"/>
        </w:rPr>
        <w:t>12</w:t>
      </w:r>
      <w:r w:rsidR="00446E95">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201</w:t>
      </w:r>
      <w:r>
        <w:rPr>
          <w:rFonts w:ascii="Arial" w:eastAsia="ヒラギノ明朝 Pro W3" w:hAnsi="Arial" w:cs="Arial"/>
          <w:b/>
          <w:noProof w:val="0"/>
          <w:color w:val="000000"/>
          <w:kern w:val="0"/>
          <w:position w:val="0"/>
          <w:sz w:val="20"/>
          <w:szCs w:val="20"/>
          <w:u w:val="single"/>
        </w:rPr>
        <w:t>9</w:t>
      </w:r>
    </w:p>
    <w:p w14:paraId="6DF74853" w14:textId="12A1BB99" w:rsidR="00FB780B" w:rsidRDefault="00FB780B" w:rsidP="00FB780B">
      <w:pPr>
        <w:spacing w:line="240" w:lineRule="atLeast"/>
        <w:ind w:firstLine="566"/>
        <w:rPr>
          <w:rFonts w:ascii="Arial" w:eastAsia="ヒラギノ明朝 Pro W3" w:hAnsi="Arial" w:cs="Arial"/>
          <w:b/>
          <w:noProof w:val="0"/>
          <w:color w:val="000000"/>
          <w:kern w:val="0"/>
          <w:position w:val="0"/>
          <w:sz w:val="20"/>
          <w:szCs w:val="20"/>
          <w:u w:val="single"/>
        </w:rPr>
      </w:pPr>
      <w:r>
        <w:rPr>
          <w:rFonts w:ascii="Arial" w:eastAsia="ヒラギノ明朝 Pro W3" w:hAnsi="Arial" w:cs="Arial"/>
          <w:b/>
          <w:noProof w:val="0"/>
          <w:color w:val="000000"/>
          <w:kern w:val="0"/>
          <w:position w:val="0"/>
          <w:sz w:val="20"/>
          <w:szCs w:val="20"/>
          <w:u w:val="single"/>
        </w:rPr>
        <w:t>Resmi Gazete Tarihi: 07.12.2019</w:t>
      </w: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No: 30971</w:t>
      </w:r>
    </w:p>
    <w:p w14:paraId="2691F25B" w14:textId="77777777" w:rsidR="00FB780B" w:rsidRPr="00FB780B" w:rsidRDefault="00FB780B" w:rsidP="00FB780B">
      <w:pPr>
        <w:spacing w:line="240" w:lineRule="atLeast"/>
        <w:rPr>
          <w:rFonts w:ascii="Arial" w:hAnsi="Arial" w:cs="Arial"/>
          <w:b/>
          <w:bCs/>
          <w:noProof w:val="0"/>
          <w:kern w:val="0"/>
          <w:position w:val="0"/>
          <w:sz w:val="20"/>
          <w:szCs w:val="20"/>
          <w:lang w:eastAsia="tr-TR"/>
        </w:rPr>
      </w:pPr>
    </w:p>
    <w:p w14:paraId="429E9475"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b/>
          <w:noProof w:val="0"/>
          <w:color w:val="000000"/>
          <w:kern w:val="0"/>
          <w:position w:val="0"/>
          <w:sz w:val="20"/>
          <w:szCs w:val="20"/>
          <w:lang w:eastAsia="tr-TR"/>
        </w:rPr>
        <w:t>MADDE 49 –</w:t>
      </w:r>
      <w:r w:rsidRPr="00FB780B">
        <w:rPr>
          <w:rFonts w:ascii="Arial" w:eastAsiaTheme="minorHAnsi" w:hAnsi="Arial" w:cs="Arial"/>
          <w:noProof w:val="0"/>
          <w:color w:val="000000"/>
          <w:kern w:val="0"/>
          <w:position w:val="0"/>
          <w:sz w:val="20"/>
          <w:szCs w:val="20"/>
          <w:lang w:eastAsia="tr-TR"/>
        </w:rPr>
        <w:t> 3/6/2007 tarihli ve 5684 sayılı Sigortacılık Kanununa aşağıdaki ek madde eklenmiştir.</w:t>
      </w:r>
    </w:p>
    <w:p w14:paraId="58B23387"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“Sigortacılık ve Özel Emeklilik Düzenleme ve Denetleme Kurumuna ilişkin hükümler</w:t>
      </w:r>
    </w:p>
    <w:p w14:paraId="476FB8E1"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b/>
          <w:noProof w:val="0"/>
          <w:color w:val="000000"/>
          <w:kern w:val="0"/>
          <w:position w:val="0"/>
          <w:sz w:val="20"/>
          <w:szCs w:val="20"/>
          <w:lang w:eastAsia="tr-TR"/>
        </w:rPr>
        <w:t>EK MADDE 5 –</w:t>
      </w:r>
      <w:r w:rsidRPr="00FB780B">
        <w:rPr>
          <w:rFonts w:ascii="Arial" w:eastAsiaTheme="minorHAnsi" w:hAnsi="Arial" w:cs="Arial"/>
          <w:noProof w:val="0"/>
          <w:color w:val="000000"/>
          <w:kern w:val="0"/>
          <w:position w:val="0"/>
          <w:sz w:val="20"/>
          <w:szCs w:val="20"/>
          <w:lang w:eastAsia="tr-TR"/>
        </w:rPr>
        <w:t xml:space="preserve"> (1) Sigortacılık ve Özel Emeklilik Düzenleme ve Denetleme Kurumunda Başkan ve üyeler, görevlerinin devamı süresince görevlerini tam bir dikkat, dürüstlük ve tarafsızlık ile yürüteceklerine, ilgili mevzuat hükümlerine aykırı hareket etmeyeceklerine ve ettirmeyeceklerine dair Yargıtay Birinci Başkanlık Kurulu huzurunda yemin eder. Yemin için yapılan başvuru Yargıtay tarafından acele işlerden sayılır. Başkan ve üyeler, yemin etmedikçe göreve başlamış sayılmaz.</w:t>
      </w:r>
    </w:p>
    <w:p w14:paraId="24146CBA"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(2) Sigortacılık ve Özel Emeklili</w:t>
      </w:r>
      <w:bookmarkStart w:id="2" w:name="_GoBack"/>
      <w:bookmarkEnd w:id="2"/>
      <w:r w:rsidRPr="00FB780B">
        <w:rPr>
          <w:rFonts w:ascii="Arial" w:eastAsiaTheme="minorHAnsi" w:hAnsi="Arial" w:cs="Arial"/>
          <w:noProof w:val="0"/>
          <w:color w:val="000000"/>
          <w:kern w:val="0"/>
          <w:position w:val="0"/>
          <w:sz w:val="20"/>
          <w:szCs w:val="20"/>
          <w:lang w:eastAsia="tr-TR"/>
        </w:rPr>
        <w:t>k Düzenleme ve Denetleme Kurumunda Başkan Yardımcısı, Daire Başkanı ve Grup Başkanı kadrolarına atanacaklarda aşağıdaki şartlar aranır:</w:t>
      </w:r>
    </w:p>
    <w:p w14:paraId="3E9BDF02"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a) 14/7/1965 tarihli ve 657 sayılı Devlet Memurları Kanununun 48 inci maddesinde sayılan genel şartları taşımak.</w:t>
      </w:r>
    </w:p>
    <w:p w14:paraId="7CC7157B"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b) En az dört yıllık yükseköğrenim mezunu olmak.</w:t>
      </w:r>
    </w:p>
    <w:p w14:paraId="7C901401"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c) Kamuda ve/veya sosyal güvenlik kurumlarına tabi olmak kaydıyla uluslararası kuruluşlar ile özel sektörde veya serbest olarak en az beş yıl çalışmış olmak.</w:t>
      </w:r>
    </w:p>
    <w:p w14:paraId="3E5C622D"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(3) Başkan ve üyeler ile Kurum personeline; 27/6/1989 tarihli ve 375 sayılı Kanun Hükmünde Kararnamenin ek 11 inci maddesi uyarınca belirlenmiş emsali personele mali ve sosyal haklar kapsamında yapılan ödemeler aynı usul ve esaslar çerçevesinde ödenir. Emsali personele yapılan ödemelerden vergi ve diğer yasal kesintilere tabi olmayanlar bu Kanuna göre de vergi ve diğer kesintilere tabi olmaz. Başkan ve üyeler ile Kurum personeli emeklilik hakları bakımından da emsali olarak belirlenen personel ile denk kabul edilir.</w:t>
      </w:r>
    </w:p>
    <w:p w14:paraId="792F1CE7"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(4) Başkan ve üyeler ile Kurum personeli, sosyal güvenlik açısından 31/5/2006 tarihli ve 5510 sayılı Sosyal Sigortalar ve Genel Sağlık Sigortası Kanununun 4 üncü maddesinin birinci fıkrasının (c) bendi kapsamında sigortalı sayılır. 5510 sayılı Kanunun 4 üncü maddesinin birinci fıkrasının (c) bendi kapsamında sigortalı iken Başkan ve üyeliğe atananlardan bu görevleri sona erenler veya bu görevlerinden ayrılma isteğinde bulunanların bu görevlerde geçen hizmet süreleri kazanılmış hak aylık, derece ve kademelerinin tespitinde dikkate alınır. Bunlardan bu görevleri sırasında 5510 sayılı Kanunun geçici 4 üncü maddesi kapsamına girenlerin bu görevlerde geçen süreleri makam tazminatı ile temsil tazminatı ödenmesi gereken süre olarak değerlendirilir. Kamu kurum ve kuruluşlarında 5510 sayılı Kanunun 4 üncü maddesinin birinci fıkrasının (a) bendi kapsamında sigortalı iken Başkan ve üyeliğe atananların, önceki kurum ve kuruluşları ile ilişiklerinin kesilmesi kendilerine kıdem tazminatı veya iş sonu tazminatı ödenmesini gerektirmez. Bu durumda olanların kıdem tazminatı veya iş sonu tazminatı ödenmesi gereken hizmet süreleri, Başkan ve üyelikte geçen hizmet süreleri ile birleştirilir ve emeklilik ikramiyesi ödenecek süre olarak değerlendirilir.</w:t>
      </w:r>
    </w:p>
    <w:p w14:paraId="1F74D1D7"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(5) Başkan ve üyeliğe atananlardan atama yapılmadan önce sosyal güvenlik yönünden diğer statülere tabi olanların, istekleri hâlinde bu statülere bağlılıkları devam eder ve bunlar hakkında dördüncü fıkra hükmü uygulanmaz.</w:t>
      </w:r>
    </w:p>
    <w:p w14:paraId="5FA2EBC3"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(6) Kurum, 375 sayılı Kanun Hükmünde Kararnamenin ek 25 inci maddesi hükümlerine göre personel görevlendirebilir.</w:t>
      </w:r>
    </w:p>
    <w:p w14:paraId="083B7CB2"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(7) Kurumda, 375 sayılı Kanun Hükmünde Kararnamenin ek 6 ncı maddesinde belirtilen usul ve esaslar çerçevesinde sözleşmeli olarak bilişim personeli çalıştırılabilir. Söz konusu maddenin üçüncü fıkrasının (a) ve (b) bentlerinde yer alan şartlar Kurum için aranmaz.</w:t>
      </w:r>
    </w:p>
    <w:p w14:paraId="6D2B7EDF"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 xml:space="preserve">(8) Başkan ve üyeler ile Kurum personelinin görevleriyle bağlantılı olarak işledikleri iddia edilen suçlara ilişkin soruşturmalar için izin verme yetkisi; Başkan ve üyeler için ilişkili Bakana, Kurum personeli için ise Başkana aittir. Başkan ve üyeler ile Kurum personelinin görevleri ile ilgili olarak iştirak hâlinde işledikleri iddia edilen suçlara ilişkin soruşturmalarda Kurum personeli hakkında soruşturma izni verme yetkisi ilişkili Bakana aittir. Başkan ve üyeler ile Kurum personelinin, görevden ayrılmış olsalar dahi, </w:t>
      </w:r>
      <w:r w:rsidRPr="00FB780B">
        <w:rPr>
          <w:rFonts w:ascii="Arial" w:eastAsiaTheme="minorHAnsi" w:hAnsi="Arial" w:cs="Arial"/>
          <w:noProof w:val="0"/>
          <w:color w:val="000000"/>
          <w:kern w:val="0"/>
          <w:position w:val="0"/>
          <w:sz w:val="20"/>
          <w:szCs w:val="20"/>
          <w:lang w:eastAsia="tr-TR"/>
        </w:rPr>
        <w:lastRenderedPageBreak/>
        <w:t>görevleriyle bağlantılı olarak işledikleri iddia edilen suçlardan dolayı başlatılan soruşturma ve kovuşturmalar, ilgili üye veya personelin talebi hâlinde, Kurum tarafından görevlendirilecek bir avukat tarafından takip edilir. Söz konusu davalara ilişkin dava giderleri ile Türkiye Barolar Birliğince açıklanan asgari ücret tarifesinde belirlenen avukatlık ücretinin onbeş katını aşmamak üzere belirlenen avukatlık ücreti Kurum bütçesinden karşılanır. Başkan ve üyeler ile Kurum personelinin, kovuşturma sonucunda mahkumiyetine karar verilmesi ve bu kararın kesinleşmesi hâlinde, Kurum bütçesinden karşılanan avukatlık ücreti, ilgili Başkan ve üyeler ile Kurum personelinden genel hükümlere göre tahsil olunur.</w:t>
      </w:r>
    </w:p>
    <w:p w14:paraId="38AF126B"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(9) Başkan ve üyeler, 19/4/1990 tarihli ve 3628 sayılı Mal Bildiriminde Bulunulması, Rüşvet ve Yolsuzluklarla Mücadele Kanununa tabidir.</w:t>
      </w:r>
    </w:p>
    <w:p w14:paraId="2F6271CE"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(10) Başkan ve üyeler, görevlerinden ayrılmalarını izleyen iki yıl içinde Kurumun denetlemekle ve düzenlemekle yetkili olduğu sektör ve alandaki özel kuruluşlarda görev alamaz. Bu fıkra hükmüne uymayanlar hakkında 2/10/1981 tarihli ve 2531 sayılı Kamu Görevlerinden Ayrılanların Yapamayacakları İşler Hakkında Kanunun 4 üncü maddesi hükmü uygulanır.</w:t>
      </w:r>
    </w:p>
    <w:p w14:paraId="6EB4CAFE"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(11) Kurumun malları, varlıkları, hak ve alacakları Devlet malı hükmündedir, haczedilemez ve rehnedilemez.</w:t>
      </w:r>
    </w:p>
    <w:p w14:paraId="28DC6657"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(12) Aşağıdaki gelirler Kurumun gelirleri arasında yer alır:</w:t>
      </w:r>
    </w:p>
    <w:p w14:paraId="2A4ED905"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a) Türkiye’de kurulmuş sigorta, reasürans ve emeklilik şirketleri ile yurt dışında kurulmuş sigorta, reasürans ve emeklilik şirketlerinin Türkiye’deki teşkilatlarından ve sigorta ve reasürans brokerlerinden tahsil edilen katılma payları.</w:t>
      </w:r>
    </w:p>
    <w:p w14:paraId="2DE85E3F"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b) Sigorta acenteleri ve sigorta eksperlerinden Türkiye Odalar ve Borsalar Birliği tarafından levha kayıt ücreti veya aidat olarak tahsil edilen tutarlardan indirilmek suretiyle Kuruma aktarılan katılma payları.</w:t>
      </w:r>
    </w:p>
    <w:p w14:paraId="46747106"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c) Kurumca belirlenen tescil, izin ve ruhsat hizmet bedelleri.</w:t>
      </w:r>
    </w:p>
    <w:p w14:paraId="7C20E0B9"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(13) Onikinci fıkra uyarınca katılma payı olarak tahsil olunacak tutarlar, söz konusu fıkranın (a) bendinde belirtilen kuruluşların bir önceki yıl bilanço toplamlarının onbinde beşini, (b) bendinde belirtilen tutarın ise beşte birini geçemez.</w:t>
      </w:r>
    </w:p>
    <w:p w14:paraId="145A087B"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(14) Kurum kadrolarına atanan ve haklarında 375 sayılı Kanun Hükmünde Kararnamenin geçici 12 nci ve geçici 16 ncı maddeleri hükümleri uygulananların mali hakları hususunda söz konusu hükümlerin uygulanmasına devam olunur.”</w:t>
      </w:r>
    </w:p>
    <w:p w14:paraId="60BFC6B0" w14:textId="77777777" w:rsid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p>
    <w:p w14:paraId="5D04001E" w14:textId="654D4793" w:rsidR="00FB780B" w:rsidRPr="00FB780B" w:rsidRDefault="00FB780B" w:rsidP="00FB780B">
      <w:pPr>
        <w:spacing w:line="276" w:lineRule="auto"/>
        <w:ind w:left="170"/>
        <w:rPr>
          <w:rFonts w:ascii="Arial" w:eastAsiaTheme="minorHAnsi" w:hAnsi="Arial" w:cs="Arial"/>
          <w:b/>
          <w:noProof w:val="0"/>
          <w:color w:val="000000"/>
          <w:kern w:val="0"/>
          <w:position w:val="0"/>
          <w:sz w:val="20"/>
          <w:szCs w:val="20"/>
          <w:lang w:eastAsia="tr-TR"/>
        </w:rPr>
      </w:pPr>
      <w:r w:rsidRPr="00FB780B">
        <w:rPr>
          <w:rFonts w:ascii="Arial" w:eastAsiaTheme="minorHAnsi" w:hAnsi="Arial" w:cs="Arial"/>
          <w:b/>
          <w:noProof w:val="0"/>
          <w:color w:val="000000"/>
          <w:kern w:val="0"/>
          <w:position w:val="0"/>
          <w:sz w:val="20"/>
          <w:szCs w:val="20"/>
          <w:lang w:eastAsia="tr-TR"/>
        </w:rPr>
        <w:t>Yürürlük</w:t>
      </w:r>
    </w:p>
    <w:p w14:paraId="7D8569E5"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b/>
          <w:noProof w:val="0"/>
          <w:color w:val="000000"/>
          <w:kern w:val="0"/>
          <w:position w:val="0"/>
          <w:sz w:val="20"/>
          <w:szCs w:val="20"/>
          <w:lang w:eastAsia="tr-TR"/>
        </w:rPr>
        <w:t>MADDE 52 –</w:t>
      </w:r>
      <w:r w:rsidRPr="00FB780B">
        <w:rPr>
          <w:rFonts w:ascii="Arial" w:eastAsiaTheme="minorHAnsi" w:hAnsi="Arial" w:cs="Arial"/>
          <w:noProof w:val="0"/>
          <w:color w:val="000000"/>
          <w:kern w:val="0"/>
          <w:position w:val="0"/>
          <w:sz w:val="20"/>
          <w:szCs w:val="20"/>
          <w:lang w:eastAsia="tr-TR"/>
        </w:rPr>
        <w:t> (1) Bu Kanunun;</w:t>
      </w:r>
    </w:p>
    <w:p w14:paraId="023C5EB8"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a) 1 inci ila 7 nci maddeleri bu Kanunun yayım tarihini izleyen üçüncü ay başında,</w:t>
      </w:r>
    </w:p>
    <w:p w14:paraId="610A7B4E"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b) 9 uncu ve 42 nci maddeleri 1/4/2020 tarihinde,</w:t>
      </w:r>
    </w:p>
    <w:p w14:paraId="6A293D99"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c) 10 uncu ve 15 inci maddeleri 1/1/2020 tarihinden itibaren elde edilen gelirlere uygulanmak üzere yayımı tarihinde,</w:t>
      </w:r>
    </w:p>
    <w:p w14:paraId="4B2CF464"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ç) 11 inci ve 12 nci maddeleri bu Kanunun yayım tarihini izleyen ay başında,</w:t>
      </w:r>
    </w:p>
    <w:p w14:paraId="16A88A0E"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d) 13 üncü ve 14 üncü maddeleri 1/1/2020 tarihinden itibaren başlayan vergilendirme dönemi gelir ve kazançlarına uygulanmak üzere yayımı tarihinde,</w:t>
      </w:r>
    </w:p>
    <w:p w14:paraId="5AC4F9E0"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e) 17 nci maddesi 1/1/2019 tarihinden itibaren elde edilen gelirlere uygulanmak üzere yayımı tarihinde,</w:t>
      </w:r>
    </w:p>
    <w:p w14:paraId="51B2E875"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f) 18 inci maddesi 1/1/2020 tarihinden itibaren verilmesi gereken yıllık gelir ve kurumlar vergisi beyannamelerinde uygulanmak üzere yayımı tarihinde,</w:t>
      </w:r>
    </w:p>
    <w:p w14:paraId="578CA16D"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g) 21 inci maddesinin 193 sayılı Kanunun geçici 72 nci maddesinde yer alan “31/12/2019” ibaresini “31/12/2023” şeklinde değiştiren hükmü yayımı tarihinde, diğer hükümleri 1/1/2020 tarihinden itibaren elde edilen gelirlere uygulanmak üzere yayımı tarihinde,</w:t>
      </w:r>
    </w:p>
    <w:p w14:paraId="4919B308"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ğ) 23 üncü, 25 inci, 27 nci ve 28 inci maddeleri, 32 nci maddesiyle 1319 sayılı Kanuna eklenen 44 üncü maddenin dördüncü fıkrası ve 40 ıncı maddesi 1/1/2020 tarihinde,</w:t>
      </w:r>
    </w:p>
    <w:p w14:paraId="79F60AFA"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h) Diğer hükümleri yayımı tarihinde,</w:t>
      </w:r>
    </w:p>
    <w:p w14:paraId="6F100730" w14:textId="77777777" w:rsidR="00FB780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noProof w:val="0"/>
          <w:color w:val="000000"/>
          <w:kern w:val="0"/>
          <w:position w:val="0"/>
          <w:sz w:val="20"/>
          <w:szCs w:val="20"/>
          <w:lang w:eastAsia="tr-TR"/>
        </w:rPr>
        <w:t>yürürlüğe girer.</w:t>
      </w:r>
    </w:p>
    <w:p w14:paraId="15D692F6" w14:textId="77777777" w:rsid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p>
    <w:p w14:paraId="54F0ABB4" w14:textId="38364A8B" w:rsidR="00FB780B" w:rsidRPr="00FB780B" w:rsidRDefault="00FB780B" w:rsidP="00FB780B">
      <w:pPr>
        <w:spacing w:line="276" w:lineRule="auto"/>
        <w:ind w:left="170"/>
        <w:rPr>
          <w:rFonts w:ascii="Arial" w:eastAsiaTheme="minorHAnsi" w:hAnsi="Arial" w:cs="Arial"/>
          <w:b/>
          <w:noProof w:val="0"/>
          <w:color w:val="000000"/>
          <w:kern w:val="0"/>
          <w:position w:val="0"/>
          <w:sz w:val="20"/>
          <w:szCs w:val="20"/>
          <w:lang w:eastAsia="tr-TR"/>
        </w:rPr>
      </w:pPr>
      <w:r w:rsidRPr="00FB780B">
        <w:rPr>
          <w:rFonts w:ascii="Arial" w:eastAsiaTheme="minorHAnsi" w:hAnsi="Arial" w:cs="Arial"/>
          <w:b/>
          <w:noProof w:val="0"/>
          <w:color w:val="000000"/>
          <w:kern w:val="0"/>
          <w:position w:val="0"/>
          <w:sz w:val="20"/>
          <w:szCs w:val="20"/>
          <w:lang w:eastAsia="tr-TR"/>
        </w:rPr>
        <w:t>Yürütme</w:t>
      </w:r>
    </w:p>
    <w:p w14:paraId="5A308719" w14:textId="2FF80E8E" w:rsidR="00626E7B" w:rsidRPr="00FB780B" w:rsidRDefault="00FB780B" w:rsidP="00FB780B">
      <w:pPr>
        <w:spacing w:line="276" w:lineRule="auto"/>
        <w:ind w:left="170"/>
        <w:rPr>
          <w:rFonts w:ascii="Arial" w:eastAsiaTheme="minorHAnsi" w:hAnsi="Arial" w:cs="Arial"/>
          <w:noProof w:val="0"/>
          <w:color w:val="000000"/>
          <w:kern w:val="0"/>
          <w:position w:val="0"/>
          <w:sz w:val="20"/>
          <w:szCs w:val="20"/>
          <w:lang w:eastAsia="tr-TR"/>
        </w:rPr>
      </w:pPr>
      <w:r w:rsidRPr="00FB780B">
        <w:rPr>
          <w:rFonts w:ascii="Arial" w:eastAsiaTheme="minorHAnsi" w:hAnsi="Arial" w:cs="Arial"/>
          <w:b/>
          <w:noProof w:val="0"/>
          <w:color w:val="000000"/>
          <w:kern w:val="0"/>
          <w:position w:val="0"/>
          <w:sz w:val="20"/>
          <w:szCs w:val="20"/>
          <w:lang w:eastAsia="tr-TR"/>
        </w:rPr>
        <w:t>MADDE 53 –</w:t>
      </w:r>
      <w:r w:rsidRPr="00FB780B">
        <w:rPr>
          <w:rFonts w:ascii="Arial" w:eastAsiaTheme="minorHAnsi" w:hAnsi="Arial" w:cs="Arial"/>
          <w:noProof w:val="0"/>
          <w:color w:val="000000"/>
          <w:kern w:val="0"/>
          <w:position w:val="0"/>
          <w:sz w:val="20"/>
          <w:szCs w:val="20"/>
          <w:lang w:eastAsia="tr-TR"/>
        </w:rPr>
        <w:t> (1) Bu Kanun hükümlerini Cumhurbaşkanı yürütür.</w:t>
      </w:r>
    </w:p>
    <w:sectPr w:rsidR="00626E7B" w:rsidRPr="00FB78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F14C6" w14:textId="77777777" w:rsidR="00FB780B" w:rsidRDefault="00FB780B" w:rsidP="00FB780B">
      <w:r>
        <w:separator/>
      </w:r>
    </w:p>
  </w:endnote>
  <w:endnote w:type="continuationSeparator" w:id="0">
    <w:p w14:paraId="1A771609" w14:textId="77777777" w:rsidR="00FB780B" w:rsidRDefault="00FB780B" w:rsidP="00FB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51DF" w14:textId="122832EC" w:rsidR="00FB780B" w:rsidRPr="00446E95" w:rsidRDefault="00446E95" w:rsidP="00446E95">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158F" w14:textId="294CC71F" w:rsidR="00FB780B" w:rsidRPr="00446E95" w:rsidRDefault="00446E95" w:rsidP="00446E95">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6FCB" w14:textId="1E1A3D63" w:rsidR="00FB780B" w:rsidRPr="00446E95" w:rsidRDefault="00446E95" w:rsidP="00446E95">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F6ABB" w14:textId="77777777" w:rsidR="00FB780B" w:rsidRDefault="00FB780B" w:rsidP="00FB780B">
      <w:r>
        <w:separator/>
      </w:r>
    </w:p>
  </w:footnote>
  <w:footnote w:type="continuationSeparator" w:id="0">
    <w:p w14:paraId="1CDAB81A" w14:textId="77777777" w:rsidR="00FB780B" w:rsidRDefault="00FB780B" w:rsidP="00FB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DCC9" w14:textId="77777777" w:rsidR="00FB780B" w:rsidRDefault="00FB78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98A1" w14:textId="77777777" w:rsidR="00FB780B" w:rsidRDefault="00FB780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34D7" w14:textId="77777777" w:rsidR="00FB780B" w:rsidRDefault="00FB780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FB"/>
    <w:rsid w:val="00446E95"/>
    <w:rsid w:val="00626E7B"/>
    <w:rsid w:val="00BB43FB"/>
    <w:rsid w:val="00FB7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2C0BE"/>
  <w15:chartTrackingRefBased/>
  <w15:docId w15:val="{1F53A05F-DF42-4125-A390-C7DB68C4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80B"/>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FB780B"/>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B780B"/>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FB780B"/>
    <w:pPr>
      <w:tabs>
        <w:tab w:val="center" w:pos="4536"/>
        <w:tab w:val="right" w:pos="9072"/>
      </w:tabs>
    </w:pPr>
  </w:style>
  <w:style w:type="character" w:customStyle="1" w:styleId="stBilgiChar">
    <w:name w:val="Üst Bilgi Char"/>
    <w:basedOn w:val="VarsaylanParagrafYazTipi"/>
    <w:link w:val="stBilgi"/>
    <w:uiPriority w:val="99"/>
    <w:rsid w:val="00FB780B"/>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FB780B"/>
    <w:pPr>
      <w:tabs>
        <w:tab w:val="center" w:pos="4536"/>
        <w:tab w:val="right" w:pos="9072"/>
      </w:tabs>
    </w:pPr>
  </w:style>
  <w:style w:type="character" w:customStyle="1" w:styleId="AltBilgiChar">
    <w:name w:val="Alt Bilgi Char"/>
    <w:basedOn w:val="VarsaylanParagrafYazTipi"/>
    <w:link w:val="AltBilgi"/>
    <w:uiPriority w:val="99"/>
    <w:rsid w:val="00FB780B"/>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3A70BEF-6A85-4435-94B9-B5906009078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1189</Words>
  <Characters>6783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2023-05-05T15:25:00Z</cp:lastPrinted>
  <dcterms:created xsi:type="dcterms:W3CDTF">2023-05-05T14:15:00Z</dcterms:created>
  <dcterms:modified xsi:type="dcterms:W3CDTF">2023-05-05T15:25:00Z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de95f186-6c31-4d84-8967-d53630818f32</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