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646D" w14:textId="77777777" w:rsidR="00402A2A" w:rsidRPr="009E7408" w:rsidRDefault="00402A2A" w:rsidP="00402A2A">
      <w:pPr>
        <w:spacing w:line="276" w:lineRule="auto"/>
        <w:rPr>
          <w:b/>
          <w:u w:val="single"/>
        </w:rPr>
      </w:pPr>
      <w:r w:rsidRPr="009E7408">
        <w:rPr>
          <w:b/>
          <w:u w:val="single"/>
        </w:rPr>
        <w:t xml:space="preserve">Resmi Gazete Dışındaki Kaynak </w:t>
      </w:r>
    </w:p>
    <w:p w14:paraId="60508D53" w14:textId="77777777" w:rsidR="00402A2A" w:rsidRPr="009E7408" w:rsidRDefault="00402A2A" w:rsidP="00402A2A">
      <w:pPr>
        <w:spacing w:line="276" w:lineRule="auto"/>
        <w:rPr>
          <w:b/>
          <w:u w:val="single"/>
        </w:rPr>
      </w:pPr>
      <w:r w:rsidRPr="009E7408">
        <w:rPr>
          <w:b/>
          <w:u w:val="single"/>
        </w:rPr>
        <w:t>Sigortacılık ve Özel Emeklilik Düzenleme ve Denetleme Kurumu</w:t>
      </w:r>
    </w:p>
    <w:p w14:paraId="0D4AA04B" w14:textId="77777777" w:rsidR="00402A2A" w:rsidRPr="006B504D" w:rsidRDefault="00402A2A" w:rsidP="00402A2A"/>
    <w:p w14:paraId="02F40962" w14:textId="77777777" w:rsidR="00402A2A" w:rsidRPr="006B504D" w:rsidRDefault="00402A2A" w:rsidP="00402A2A">
      <w:pPr>
        <w:pStyle w:val="Balk2"/>
        <w:rPr>
          <w:rStyle w:val="document-info-data"/>
        </w:rPr>
      </w:pPr>
      <w:r w:rsidRPr="006B504D">
        <w:rPr>
          <w:rStyle w:val="document-info-data"/>
        </w:rPr>
        <w:t>Borsa İstanbul’un Pay Piyasası İşlemlerinin Durdurulmasına Bağlı Olarak Emeklilik Yatırım Fonlarının Alım ve Satımı Hakkında Sektör Duyurusu (2023/2)</w:t>
      </w:r>
    </w:p>
    <w:p w14:paraId="6718A78D" w14:textId="77777777" w:rsidR="00402A2A" w:rsidRDefault="00402A2A" w:rsidP="00402A2A"/>
    <w:p w14:paraId="37E0B9D9" w14:textId="77777777" w:rsidR="00402A2A" w:rsidRPr="006B504D" w:rsidRDefault="00402A2A" w:rsidP="00402A2A"/>
    <w:p w14:paraId="43467A58" w14:textId="77777777" w:rsidR="00402A2A" w:rsidRPr="006B504D" w:rsidRDefault="00402A2A" w:rsidP="00402A2A">
      <w:pPr>
        <w:widowControl w:val="0"/>
        <w:ind w:right="170"/>
      </w:pPr>
      <w:r w:rsidRPr="006B504D">
        <w:t>Bilindiği üzere, 6 Şubat 2023 tarihinde ülkemizde yaşanan deprem felaketleri neticesinde ortaya çıkan olağanüstü gelişmelere bağlı olarak 08.02.2023 tarihinde Borsa İstanbul pay piyasası ile vadeli işlem ve opsiyon piyasası pay ve pay endeksi türev pazarlarında işlemler durdurulmuştur.</w:t>
      </w:r>
    </w:p>
    <w:p w14:paraId="01D06ADF" w14:textId="77777777" w:rsidR="00402A2A" w:rsidRPr="006B504D" w:rsidRDefault="00402A2A" w:rsidP="00402A2A">
      <w:pPr>
        <w:widowControl w:val="0"/>
        <w:ind w:right="170"/>
      </w:pPr>
      <w:r w:rsidRPr="006B504D">
        <w:t>Bu kapsamda, sistemden ayrılma, cayma, emeklilik, aktarım, fon dağılım değişikliği vb. işlemler esnasında hisse senedi içeren emeklilik yatırım fonlarının alım veya satımı noktasında fiili imkansızlık durumu meydana gelmiş bulunmaktadır.</w:t>
      </w:r>
    </w:p>
    <w:p w14:paraId="33A0ABE1" w14:textId="77777777" w:rsidR="00402A2A" w:rsidRDefault="00402A2A" w:rsidP="00402A2A">
      <w:pPr>
        <w:widowControl w:val="0"/>
        <w:ind w:right="170"/>
      </w:pPr>
      <w:r w:rsidRPr="006B504D">
        <w:t>Bu çerçevede, Sermaye Piyasası Kurulunca pay piyasasının kapalı olmasına ilişkin alınan Kararlar da dikkate alınmak suretiyle, 08.02.2023 tarihinden başlayarak Pay Piyasası yeniden açılıncaya kadar katılımcılardan gelen taleplerin karşılanması ve fona ilişkin diğer işlemler noktasında, ilgili plan esasları çerçevesinde, Fon Kurullarının alacağı kararlar doğrultusunda gerekli işlemlerin yerine getirilmesi gerekmektedir.</w:t>
      </w:r>
    </w:p>
    <w:p w14:paraId="35EE996E" w14:textId="77777777" w:rsidR="00402A2A" w:rsidRPr="006B504D" w:rsidRDefault="00402A2A" w:rsidP="00402A2A">
      <w:pPr>
        <w:widowControl w:val="0"/>
        <w:ind w:right="170"/>
      </w:pPr>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402A2A" w14:paraId="717B1D28" w14:textId="77777777" w:rsidTr="00BC7558">
        <w:trPr>
          <w:trHeight w:val="289"/>
        </w:trPr>
        <w:tc>
          <w:tcPr>
            <w:tcW w:w="8497" w:type="dxa"/>
            <w:gridSpan w:val="3"/>
          </w:tcPr>
          <w:p w14:paraId="1D80CE68" w14:textId="77777777" w:rsidR="00402A2A" w:rsidRPr="006B504D" w:rsidRDefault="00402A2A" w:rsidP="00BC7558">
            <w:pPr>
              <w:jc w:val="center"/>
              <w:rPr>
                <w:b/>
              </w:rPr>
            </w:pPr>
            <w:r w:rsidRPr="006B504D">
              <w:rPr>
                <w:b/>
              </w:rPr>
              <w:t>Sektör Duyurusu’nun</w:t>
            </w:r>
          </w:p>
        </w:tc>
      </w:tr>
      <w:tr w:rsidR="00402A2A" w14:paraId="2BA1A708" w14:textId="77777777" w:rsidTr="00BC7558">
        <w:trPr>
          <w:trHeight w:val="289"/>
        </w:trPr>
        <w:tc>
          <w:tcPr>
            <w:tcW w:w="3016" w:type="dxa"/>
          </w:tcPr>
          <w:p w14:paraId="1B1A7C46" w14:textId="77777777" w:rsidR="00402A2A" w:rsidRPr="006B504D" w:rsidRDefault="00402A2A" w:rsidP="00BC7558">
            <w:pPr>
              <w:jc w:val="center"/>
              <w:rPr>
                <w:b/>
              </w:rPr>
            </w:pPr>
            <w:r w:rsidRPr="006B504D">
              <w:rPr>
                <w:b/>
              </w:rPr>
              <w:t>Numarası</w:t>
            </w:r>
          </w:p>
        </w:tc>
        <w:tc>
          <w:tcPr>
            <w:tcW w:w="3019" w:type="dxa"/>
          </w:tcPr>
          <w:p w14:paraId="621E3CE7" w14:textId="77777777" w:rsidR="00402A2A" w:rsidRPr="006B504D" w:rsidRDefault="00402A2A" w:rsidP="00BC7558">
            <w:pPr>
              <w:jc w:val="center"/>
              <w:rPr>
                <w:b/>
              </w:rPr>
            </w:pPr>
            <w:r w:rsidRPr="006B504D">
              <w:rPr>
                <w:b/>
              </w:rPr>
              <w:t>Kabul Tarihi</w:t>
            </w:r>
          </w:p>
        </w:tc>
        <w:tc>
          <w:tcPr>
            <w:tcW w:w="2462" w:type="dxa"/>
          </w:tcPr>
          <w:p w14:paraId="3D1361F4" w14:textId="77777777" w:rsidR="00402A2A" w:rsidRPr="006B504D" w:rsidRDefault="00402A2A" w:rsidP="00BC7558">
            <w:pPr>
              <w:jc w:val="center"/>
              <w:rPr>
                <w:b/>
              </w:rPr>
            </w:pPr>
            <w:r w:rsidRPr="006B504D">
              <w:rPr>
                <w:b/>
              </w:rPr>
              <w:t>Yürürlüğe Giriş Tarihi</w:t>
            </w:r>
          </w:p>
        </w:tc>
      </w:tr>
      <w:tr w:rsidR="00402A2A" w14:paraId="56CE5AC5" w14:textId="77777777" w:rsidTr="00BC7558">
        <w:trPr>
          <w:trHeight w:val="289"/>
        </w:trPr>
        <w:tc>
          <w:tcPr>
            <w:tcW w:w="3016" w:type="dxa"/>
          </w:tcPr>
          <w:p w14:paraId="7391AC21" w14:textId="77777777" w:rsidR="00402A2A" w:rsidRPr="006B504D" w:rsidRDefault="00402A2A" w:rsidP="00BC7558">
            <w:pPr>
              <w:jc w:val="center"/>
            </w:pPr>
            <w:r w:rsidRPr="006B504D">
              <w:t>20</w:t>
            </w:r>
            <w:r>
              <w:t>23</w:t>
            </w:r>
            <w:r w:rsidRPr="006B504D">
              <w:t>/</w:t>
            </w:r>
            <w:r>
              <w:t>2</w:t>
            </w:r>
          </w:p>
        </w:tc>
        <w:tc>
          <w:tcPr>
            <w:tcW w:w="3019" w:type="dxa"/>
          </w:tcPr>
          <w:p w14:paraId="3685601B" w14:textId="77777777" w:rsidR="00402A2A" w:rsidRPr="006B504D" w:rsidRDefault="00402A2A" w:rsidP="00BC7558">
            <w:pPr>
              <w:jc w:val="center"/>
            </w:pPr>
            <w:r>
              <w:t>08.02.2023</w:t>
            </w:r>
          </w:p>
        </w:tc>
        <w:tc>
          <w:tcPr>
            <w:tcW w:w="2462" w:type="dxa"/>
          </w:tcPr>
          <w:p w14:paraId="35C4B7DD" w14:textId="77777777" w:rsidR="00402A2A" w:rsidRPr="006B504D" w:rsidRDefault="00402A2A" w:rsidP="00BC7558">
            <w:pPr>
              <w:jc w:val="center"/>
            </w:pPr>
            <w:r>
              <w:t>09.02.2023</w:t>
            </w:r>
          </w:p>
        </w:tc>
      </w:tr>
    </w:tbl>
    <w:p w14:paraId="457D2E54" w14:textId="77777777" w:rsidR="00402A2A" w:rsidRDefault="00402A2A" w:rsidP="00402A2A">
      <w:pPr>
        <w:rPr>
          <w:b/>
        </w:rPr>
      </w:pPr>
    </w:p>
    <w:p w14:paraId="22AE262B" w14:textId="77777777" w:rsidR="00626E7B" w:rsidRDefault="00626E7B">
      <w:bookmarkStart w:id="0" w:name="_GoBack"/>
      <w:bookmarkEnd w:id="0"/>
    </w:p>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6407F" w14:textId="77777777" w:rsidR="00402A2A" w:rsidRDefault="00402A2A" w:rsidP="00402A2A">
      <w:r>
        <w:separator/>
      </w:r>
    </w:p>
  </w:endnote>
  <w:endnote w:type="continuationSeparator" w:id="0">
    <w:p w14:paraId="7625F43A" w14:textId="77777777" w:rsidR="00402A2A" w:rsidRDefault="00402A2A" w:rsidP="0040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AE77" w14:textId="3C7ACEB3" w:rsidR="00402A2A" w:rsidRPr="00402A2A" w:rsidRDefault="00402A2A" w:rsidP="00402A2A">
    <w:pPr>
      <w:pStyle w:val="AltBilgi"/>
      <w:jc w:val="left"/>
    </w:pPr>
    <w:r>
      <w:rPr>
        <w:lang w:eastAsia="tr-TR"/>
      </w:rPr>
      <w:fldChar w:fldCharType="begin" w:fldLock="1"/>
    </w:r>
    <w:r>
      <w:rPr>
        <w:lang w:eastAsia="tr-TR"/>
      </w:rPr>
      <w:instrText xml:space="preserve"> DOCPROPERTY bjFooterEvenPageDocProperty \* MERGEFORMAT </w:instrText>
    </w:r>
    <w:r>
      <w:rPr>
        <w:lang w:eastAsia="tr-TR"/>
      </w:rPr>
      <w:fldChar w:fldCharType="separate"/>
    </w:r>
    <w:r w:rsidRPr="00385586">
      <w:rPr>
        <w:rFonts w:ascii="Malgun Gothic" w:eastAsia="Malgun Gothic" w:hAnsi="Malgun Gothic"/>
        <w:b/>
        <w:bCs/>
        <w:color w:val="999999"/>
        <w:lang w:eastAsia="tr-TR"/>
      </w:rPr>
      <w:t>Sınıflandırma|</w:t>
    </w:r>
    <w:r w:rsidRPr="00385586">
      <w:rPr>
        <w:rFonts w:ascii="Malgun Gothic" w:eastAsia="Malgun Gothic" w:hAnsi="Malgun Gothic"/>
        <w:b/>
        <w:bCs/>
        <w:color w:val="339966"/>
        <w:lang w:eastAsia="tr-TR"/>
      </w:rPr>
      <w:t>Genel</w:t>
    </w:r>
    <w:r>
      <w:rPr>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EC0B" w14:textId="061BDE59" w:rsidR="00402A2A" w:rsidRPr="00402A2A" w:rsidRDefault="00402A2A" w:rsidP="00402A2A">
    <w:pPr>
      <w:pStyle w:val="AltBilgi"/>
      <w:jc w:val="left"/>
    </w:pPr>
    <w:r>
      <w:rPr>
        <w:lang w:eastAsia="tr-TR"/>
      </w:rPr>
      <w:fldChar w:fldCharType="begin" w:fldLock="1"/>
    </w:r>
    <w:r>
      <w:rPr>
        <w:lang w:eastAsia="tr-TR"/>
      </w:rPr>
      <w:instrText xml:space="preserve"> DOCPROPERTY bjFooterBothDocProperty \* MERGEFORMAT </w:instrText>
    </w:r>
    <w:r>
      <w:rPr>
        <w:lang w:eastAsia="tr-TR"/>
      </w:rPr>
      <w:fldChar w:fldCharType="separate"/>
    </w:r>
    <w:r w:rsidRPr="00385586">
      <w:rPr>
        <w:rFonts w:ascii="Malgun Gothic" w:eastAsia="Malgun Gothic" w:hAnsi="Malgun Gothic"/>
        <w:b/>
        <w:bCs/>
        <w:color w:val="999999"/>
        <w:lang w:eastAsia="tr-TR"/>
      </w:rPr>
      <w:t>Sınıflandırma|</w:t>
    </w:r>
    <w:r w:rsidRPr="00385586">
      <w:rPr>
        <w:rFonts w:ascii="Malgun Gothic" w:eastAsia="Malgun Gothic" w:hAnsi="Malgun Gothic"/>
        <w:b/>
        <w:bCs/>
        <w:color w:val="339966"/>
        <w:lang w:eastAsia="tr-TR"/>
      </w:rPr>
      <w:t>Genel</w:t>
    </w:r>
    <w:r>
      <w:rPr>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6E69" w14:textId="534DF7E5" w:rsidR="00402A2A" w:rsidRPr="00402A2A" w:rsidRDefault="00402A2A" w:rsidP="00402A2A">
    <w:pPr>
      <w:pStyle w:val="AltBilgi"/>
      <w:jc w:val="left"/>
    </w:pPr>
    <w:r>
      <w:rPr>
        <w:lang w:eastAsia="tr-TR"/>
      </w:rPr>
      <w:fldChar w:fldCharType="begin" w:fldLock="1"/>
    </w:r>
    <w:r>
      <w:rPr>
        <w:lang w:eastAsia="tr-TR"/>
      </w:rPr>
      <w:instrText xml:space="preserve"> DOCPROPERTY bjFooterFirstPageDocProperty \* MERGEFORMAT </w:instrText>
    </w:r>
    <w:r>
      <w:rPr>
        <w:lang w:eastAsia="tr-TR"/>
      </w:rPr>
      <w:fldChar w:fldCharType="separate"/>
    </w:r>
    <w:r w:rsidRPr="00385586">
      <w:rPr>
        <w:rFonts w:ascii="Malgun Gothic" w:eastAsia="Malgun Gothic" w:hAnsi="Malgun Gothic"/>
        <w:b/>
        <w:bCs/>
        <w:color w:val="999999"/>
        <w:lang w:eastAsia="tr-TR"/>
      </w:rPr>
      <w:t>Sınıflandırma|</w:t>
    </w:r>
    <w:r w:rsidRPr="00385586">
      <w:rPr>
        <w:rFonts w:ascii="Malgun Gothic" w:eastAsia="Malgun Gothic" w:hAnsi="Malgun Gothic"/>
        <w:b/>
        <w:bCs/>
        <w:color w:val="339966"/>
        <w:lang w:eastAsia="tr-TR"/>
      </w:rPr>
      <w:t>Genel</w:t>
    </w:r>
    <w:r>
      <w:rPr>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778E" w14:textId="77777777" w:rsidR="00402A2A" w:rsidRDefault="00402A2A" w:rsidP="00402A2A">
      <w:r>
        <w:separator/>
      </w:r>
    </w:p>
  </w:footnote>
  <w:footnote w:type="continuationSeparator" w:id="0">
    <w:p w14:paraId="24A95F14" w14:textId="77777777" w:rsidR="00402A2A" w:rsidRDefault="00402A2A" w:rsidP="0040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48CC" w14:textId="77777777" w:rsidR="00402A2A" w:rsidRDefault="00402A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5436" w14:textId="77777777" w:rsidR="00402A2A" w:rsidRDefault="00402A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EEFA" w14:textId="77777777" w:rsidR="00402A2A" w:rsidRDefault="00402A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E1"/>
    <w:rsid w:val="00402A2A"/>
    <w:rsid w:val="00626E7B"/>
    <w:rsid w:val="00FA7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BF49B-F4C5-4394-80FD-E8D2C1A3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A2A"/>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402A2A"/>
    <w:pPr>
      <w:keepNext/>
      <w:widowControl w:val="0"/>
      <w:spacing w:line="260" w:lineRule="atLeast"/>
      <w:ind w:right="900"/>
      <w:jc w:val="center"/>
      <w:outlineLvl w:val="1"/>
    </w:pPr>
    <w:rPr>
      <w:rFonts w:eastAsia="Cambria"/>
      <w:b/>
      <w:bCs/>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02A2A"/>
    <w:rPr>
      <w:rFonts w:ascii="Arial" w:eastAsia="Cambria" w:hAnsi="Arial" w:cs="Arial"/>
      <w:b/>
      <w:bCs/>
      <w:kern w:val="16"/>
      <w:sz w:val="24"/>
      <w:szCs w:val="24"/>
      <w:lang w:eastAsia="tr-TR"/>
    </w:rPr>
  </w:style>
  <w:style w:type="table" w:styleId="TabloKlavuzu">
    <w:name w:val="Table Grid"/>
    <w:basedOn w:val="NormalTablo"/>
    <w:uiPriority w:val="39"/>
    <w:rsid w:val="00402A2A"/>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data">
    <w:name w:val="document-info-data"/>
    <w:basedOn w:val="VarsaylanParagrafYazTipi"/>
    <w:rsid w:val="00402A2A"/>
  </w:style>
  <w:style w:type="paragraph" w:styleId="stBilgi">
    <w:name w:val="header"/>
    <w:basedOn w:val="Normal"/>
    <w:link w:val="stBilgiChar"/>
    <w:uiPriority w:val="99"/>
    <w:unhideWhenUsed/>
    <w:rsid w:val="00402A2A"/>
    <w:pPr>
      <w:tabs>
        <w:tab w:val="center" w:pos="4536"/>
        <w:tab w:val="right" w:pos="9072"/>
      </w:tabs>
    </w:pPr>
  </w:style>
  <w:style w:type="character" w:customStyle="1" w:styleId="stBilgiChar">
    <w:name w:val="Üst Bilgi Char"/>
    <w:basedOn w:val="VarsaylanParagrafYazTipi"/>
    <w:link w:val="stBilgi"/>
    <w:uiPriority w:val="99"/>
    <w:rsid w:val="00402A2A"/>
    <w:rPr>
      <w:rFonts w:ascii="Arial" w:hAnsi="Arial" w:cs="Arial"/>
      <w:color w:val="000000"/>
      <w:kern w:val="16"/>
      <w:sz w:val="20"/>
      <w:szCs w:val="20"/>
    </w:rPr>
  </w:style>
  <w:style w:type="paragraph" w:styleId="AltBilgi">
    <w:name w:val="footer"/>
    <w:basedOn w:val="Normal"/>
    <w:link w:val="AltBilgiChar"/>
    <w:uiPriority w:val="99"/>
    <w:unhideWhenUsed/>
    <w:rsid w:val="00402A2A"/>
    <w:pPr>
      <w:tabs>
        <w:tab w:val="center" w:pos="4536"/>
        <w:tab w:val="right" w:pos="9072"/>
      </w:tabs>
    </w:pPr>
  </w:style>
  <w:style w:type="character" w:customStyle="1" w:styleId="AltBilgiChar">
    <w:name w:val="Alt Bilgi Char"/>
    <w:basedOn w:val="VarsaylanParagrafYazTipi"/>
    <w:link w:val="AltBilgi"/>
    <w:uiPriority w:val="99"/>
    <w:rsid w:val="00402A2A"/>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84D1176-0372-4907-8251-E3C2C4785C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Emeklilik Gozetim Merkezi</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2023-02-13T14:33:00Z</dcterms:created>
  <dcterms:modified xsi:type="dcterms:W3CDTF">2023-02-13T14:34:00Z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fcc21719-348c-41de-823e-cf26e5d4a75e</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