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9491" w14:textId="77777777" w:rsidR="00EF531D" w:rsidRPr="001D7EEF" w:rsidRDefault="00EF531D" w:rsidP="00EF531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b/>
          <w:bCs/>
          <w:sz w:val="20"/>
          <w:u w:val="single"/>
        </w:rPr>
      </w:pPr>
      <w:bookmarkStart w:id="0" w:name="_Toc10203522"/>
      <w:bookmarkStart w:id="1" w:name="_Toc105418688"/>
      <w:r w:rsidRPr="001D7EEF">
        <w:rPr>
          <w:b/>
          <w:bCs/>
          <w:sz w:val="20"/>
          <w:u w:val="single"/>
        </w:rPr>
        <w:t>Resmi Gazete Dışından Kaynak</w:t>
      </w:r>
    </w:p>
    <w:p w14:paraId="13006DB9" w14:textId="77777777" w:rsidR="00EF531D" w:rsidRPr="00C9616B" w:rsidRDefault="00EF531D" w:rsidP="00EF531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b/>
          <w:bCs/>
          <w:sz w:val="20"/>
          <w:u w:val="single"/>
        </w:rPr>
      </w:pPr>
      <w:r w:rsidRPr="001D7EEF">
        <w:rPr>
          <w:b/>
          <w:bCs/>
          <w:sz w:val="20"/>
          <w:u w:val="single"/>
        </w:rPr>
        <w:t>Hazine Müsteşarlığı</w:t>
      </w:r>
      <w:r>
        <w:rPr>
          <w:b/>
          <w:bCs/>
          <w:sz w:val="20"/>
          <w:u w:val="single"/>
        </w:rPr>
        <w:t xml:space="preserve"> (Sigortacılık Genel Müdürlüğü)</w:t>
      </w:r>
      <w:r w:rsidR="00C9616B">
        <w:rPr>
          <w:b/>
          <w:bCs/>
          <w:sz w:val="20"/>
        </w:rPr>
        <w:tab/>
      </w:r>
      <w:r w:rsidR="00C9616B">
        <w:rPr>
          <w:b/>
          <w:bCs/>
          <w:sz w:val="20"/>
        </w:rPr>
        <w:tab/>
      </w:r>
      <w:r w:rsidR="00C9616B">
        <w:rPr>
          <w:b/>
          <w:bCs/>
          <w:sz w:val="20"/>
        </w:rPr>
        <w:tab/>
      </w:r>
      <w:r w:rsidR="00C9616B">
        <w:rPr>
          <w:b/>
          <w:bCs/>
          <w:sz w:val="20"/>
        </w:rPr>
        <w:tab/>
      </w:r>
      <w:r w:rsidR="00C9616B">
        <w:rPr>
          <w:b/>
          <w:bCs/>
          <w:sz w:val="20"/>
          <w:u w:val="single"/>
        </w:rPr>
        <w:t>25.03.2016</w:t>
      </w:r>
      <w:bookmarkStart w:id="2" w:name="_GoBack"/>
      <w:bookmarkEnd w:id="2"/>
    </w:p>
    <w:p w14:paraId="127E0D2E" w14:textId="77777777" w:rsidR="00673F3F" w:rsidRPr="00942CD0" w:rsidRDefault="00673F3F" w:rsidP="00EF531D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b/>
          <w:bCs/>
          <w:sz w:val="20"/>
          <w:u w:val="single"/>
        </w:rPr>
      </w:pPr>
    </w:p>
    <w:p w14:paraId="08CC4F51" w14:textId="77777777" w:rsidR="00EF531D" w:rsidRDefault="00EF531D" w:rsidP="00673F3F">
      <w:pPr>
        <w:pStyle w:val="Balk2"/>
        <w:spacing w:before="0" w:after="0"/>
        <w:jc w:val="center"/>
        <w:rPr>
          <w:sz w:val="24"/>
          <w:szCs w:val="24"/>
        </w:rPr>
      </w:pPr>
      <w:r w:rsidRPr="00942CD0">
        <w:rPr>
          <w:sz w:val="24"/>
          <w:szCs w:val="24"/>
        </w:rPr>
        <w:t>BİREYSEL EMEKLİLİK SİSTEMİNDE DEVLET KATKISI İŞLEMLERİ HAKKINDA GENELGE (2016/12)</w:t>
      </w:r>
      <w:bookmarkEnd w:id="0"/>
      <w:bookmarkEnd w:id="1"/>
    </w:p>
    <w:p w14:paraId="210B9358" w14:textId="77777777" w:rsidR="00673F3F" w:rsidRDefault="00673F3F" w:rsidP="00673F3F">
      <w:pPr>
        <w:spacing w:after="0"/>
      </w:pPr>
    </w:p>
    <w:p w14:paraId="5420644B" w14:textId="77777777" w:rsidR="00673F3F" w:rsidRPr="00673F3F" w:rsidRDefault="00673F3F" w:rsidP="00673F3F">
      <w:pPr>
        <w:spacing w:after="0"/>
      </w:pPr>
    </w:p>
    <w:p w14:paraId="79B47C77" w14:textId="77777777" w:rsidR="00EF531D" w:rsidRDefault="00EF531D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673F3F">
        <w:rPr>
          <w:rFonts w:eastAsiaTheme="minorHAnsi"/>
          <w:color w:val="000000"/>
          <w:kern w:val="16"/>
          <w:sz w:val="20"/>
          <w:lang w:eastAsia="en-US"/>
        </w:rPr>
        <w:t>Bu Genelge, 4632 sayılı Bireysel Emeklilik Tasarruf ve Yatırım Sistemi Kanununun Ek 1 inci maddesi ile 5/2/2016 tarihli ve 29615 sayılı Resmi Gazetede yayımlanan Bireysel Emeklilik Sisteminde Devlet Katkısı Hakkında Yönetmeliğin (“Yönetmelik”) Geçici 3 üncü maddesinin uygulanmasına ilişkin bazı esas ve usulleri açıklamak üzere hazırlanmıştır.</w:t>
      </w:r>
    </w:p>
    <w:p w14:paraId="1C17DEAA" w14:textId="77777777" w:rsidR="00673F3F" w:rsidRPr="00673F3F" w:rsidRDefault="00673F3F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</w:p>
    <w:p w14:paraId="5AC5D5EE" w14:textId="77777777" w:rsidR="00EF531D" w:rsidRPr="00673F3F" w:rsidRDefault="00EF531D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673F3F">
        <w:rPr>
          <w:rFonts w:eastAsiaTheme="minorHAnsi"/>
          <w:b/>
          <w:color w:val="000000"/>
          <w:kern w:val="16"/>
          <w:sz w:val="20"/>
          <w:lang w:eastAsia="en-US"/>
        </w:rPr>
        <w:t>MADDE 1-</w:t>
      </w:r>
      <w:r w:rsidRPr="00673F3F">
        <w:rPr>
          <w:rFonts w:eastAsiaTheme="minorHAnsi"/>
          <w:color w:val="000000"/>
          <w:kern w:val="16"/>
          <w:sz w:val="20"/>
          <w:lang w:eastAsia="en-US"/>
        </w:rPr>
        <w:t xml:space="preserve">  (1) Yönetmeliğin Geçici 3 üncü maddesi kapsamında, 1/1/2013-1/4/2016 tarihleri arasında devlet katkısı almış olması gereken bir katkı payı tutarının;</w:t>
      </w:r>
    </w:p>
    <w:p w14:paraId="72ACF1CF" w14:textId="77777777" w:rsidR="00EF531D" w:rsidRPr="00673F3F" w:rsidRDefault="00EF531D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673F3F">
        <w:rPr>
          <w:rFonts w:eastAsiaTheme="minorHAnsi"/>
          <w:color w:val="000000"/>
          <w:kern w:val="16"/>
          <w:sz w:val="20"/>
          <w:lang w:eastAsia="en-US"/>
        </w:rPr>
        <w:t>Devlet katkısı hesaplamasına dâhil edilmemiş olması,</w:t>
      </w:r>
    </w:p>
    <w:p w14:paraId="6FC5970B" w14:textId="77777777" w:rsidR="00EF531D" w:rsidRPr="00673F3F" w:rsidRDefault="00EF531D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673F3F">
        <w:rPr>
          <w:rFonts w:eastAsiaTheme="minorHAnsi"/>
          <w:color w:val="000000"/>
          <w:kern w:val="16"/>
          <w:sz w:val="20"/>
          <w:lang w:eastAsia="en-US"/>
        </w:rPr>
        <w:t>Devlet katkısı hesaplamasına dâhil edilmekle birlikte, tamamen veya kısmen devlet katkısı almamış olması,</w:t>
      </w:r>
    </w:p>
    <w:p w14:paraId="0A408326" w14:textId="77777777" w:rsidR="00EF531D" w:rsidRPr="00673F3F" w:rsidRDefault="00EF531D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673F3F">
        <w:rPr>
          <w:rFonts w:eastAsiaTheme="minorHAnsi"/>
          <w:color w:val="000000"/>
          <w:kern w:val="16"/>
          <w:sz w:val="20"/>
          <w:lang w:eastAsia="en-US"/>
        </w:rPr>
        <w:t>Sehven haksız devlet katkısı bildirimine konu edilmesi,</w:t>
      </w:r>
    </w:p>
    <w:p w14:paraId="67F40FE9" w14:textId="77777777" w:rsidR="00EF531D" w:rsidRDefault="00EF531D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673F3F">
        <w:rPr>
          <w:rFonts w:eastAsiaTheme="minorHAnsi"/>
          <w:color w:val="000000"/>
          <w:kern w:val="16"/>
          <w:sz w:val="20"/>
          <w:lang w:eastAsia="en-US"/>
        </w:rPr>
        <w:t>hallerinde ilgili katkı payı tutarı, bir defaya mahsus olmak üzere, en geç 30/9/2016 tarihine kadarki devlet katkısı hesaplamalarında dikkate alınır. Bu kapsamda, Yönetmeliğin Geçici 3 üncü maddesine ilişkin tüm verilerin, en geç 2016 Ağustos dönemine ilişkin devlet katkısı verileriyle birlikte emeklilik gözetim merkezine iletilmiş olması gerekmektedir.</w:t>
      </w:r>
    </w:p>
    <w:p w14:paraId="191345F3" w14:textId="77777777" w:rsidR="00673F3F" w:rsidRPr="00673F3F" w:rsidRDefault="00673F3F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</w:p>
    <w:p w14:paraId="136F28C3" w14:textId="77777777" w:rsidR="00EF531D" w:rsidRPr="00673F3F" w:rsidRDefault="00EF531D" w:rsidP="00673F3F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673F3F">
        <w:rPr>
          <w:rFonts w:eastAsiaTheme="minorHAnsi"/>
          <w:b/>
          <w:color w:val="000000"/>
          <w:kern w:val="16"/>
          <w:sz w:val="20"/>
          <w:lang w:eastAsia="en-US"/>
        </w:rPr>
        <w:t>MADDE 2-</w:t>
      </w:r>
      <w:r w:rsidRPr="00673F3F">
        <w:rPr>
          <w:rFonts w:eastAsiaTheme="minorHAnsi"/>
          <w:color w:val="000000"/>
          <w:kern w:val="16"/>
          <w:sz w:val="20"/>
          <w:lang w:eastAsia="en-US"/>
        </w:rPr>
        <w:t xml:space="preserve"> Bu Genelge 1/4/2016 tarihinde yürürlüğe girer.</w:t>
      </w:r>
    </w:p>
    <w:p w14:paraId="2A7B7E22" w14:textId="77777777" w:rsidR="00EF531D" w:rsidRDefault="00EF531D" w:rsidP="00EF531D">
      <w:pPr>
        <w:rPr>
          <w:sz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16"/>
        <w:gridCol w:w="3020"/>
        <w:gridCol w:w="3020"/>
      </w:tblGrid>
      <w:tr w:rsidR="00EF531D" w:rsidRPr="001D7EEF" w14:paraId="2119DD27" w14:textId="77777777" w:rsidTr="00467BD5">
        <w:tc>
          <w:tcPr>
            <w:tcW w:w="9224" w:type="dxa"/>
            <w:gridSpan w:val="3"/>
          </w:tcPr>
          <w:p w14:paraId="5EA2A828" w14:textId="77777777" w:rsidR="00EF531D" w:rsidRPr="0078703F" w:rsidRDefault="00EF531D" w:rsidP="00467BD5">
            <w:pPr>
              <w:jc w:val="center"/>
              <w:rPr>
                <w:b/>
                <w:sz w:val="20"/>
              </w:rPr>
            </w:pPr>
            <w:r w:rsidRPr="0078703F">
              <w:rPr>
                <w:b/>
                <w:sz w:val="20"/>
              </w:rPr>
              <w:t>Genelge’nin</w:t>
            </w:r>
          </w:p>
        </w:tc>
      </w:tr>
      <w:tr w:rsidR="00EF531D" w:rsidRPr="001D7EEF" w14:paraId="161C4822" w14:textId="77777777" w:rsidTr="00467BD5">
        <w:tc>
          <w:tcPr>
            <w:tcW w:w="3074" w:type="dxa"/>
          </w:tcPr>
          <w:p w14:paraId="7845D3BE" w14:textId="77777777" w:rsidR="00EF531D" w:rsidRPr="0078703F" w:rsidRDefault="00EF531D" w:rsidP="00467BD5">
            <w:pPr>
              <w:jc w:val="center"/>
              <w:rPr>
                <w:b/>
                <w:sz w:val="20"/>
              </w:rPr>
            </w:pPr>
            <w:r w:rsidRPr="0078703F">
              <w:rPr>
                <w:b/>
                <w:sz w:val="20"/>
              </w:rPr>
              <w:t>Numarası</w:t>
            </w:r>
          </w:p>
        </w:tc>
        <w:tc>
          <w:tcPr>
            <w:tcW w:w="3075" w:type="dxa"/>
          </w:tcPr>
          <w:p w14:paraId="29D9112B" w14:textId="77777777" w:rsidR="00EF531D" w:rsidRPr="0078703F" w:rsidRDefault="00EF531D" w:rsidP="00467BD5">
            <w:pPr>
              <w:jc w:val="center"/>
              <w:rPr>
                <w:b/>
                <w:sz w:val="20"/>
              </w:rPr>
            </w:pPr>
            <w:r w:rsidRPr="0078703F">
              <w:rPr>
                <w:b/>
                <w:sz w:val="20"/>
              </w:rPr>
              <w:t>Kabul Tarihi</w:t>
            </w:r>
          </w:p>
        </w:tc>
        <w:tc>
          <w:tcPr>
            <w:tcW w:w="3075" w:type="dxa"/>
          </w:tcPr>
          <w:p w14:paraId="07745CE4" w14:textId="77777777" w:rsidR="00EF531D" w:rsidRPr="0078703F" w:rsidRDefault="00EF531D" w:rsidP="00467BD5">
            <w:pPr>
              <w:jc w:val="center"/>
              <w:rPr>
                <w:b/>
                <w:sz w:val="20"/>
              </w:rPr>
            </w:pPr>
            <w:r w:rsidRPr="0078703F">
              <w:rPr>
                <w:b/>
                <w:sz w:val="20"/>
              </w:rPr>
              <w:t>Yürürlüğe Giriş Tarihi</w:t>
            </w:r>
          </w:p>
        </w:tc>
      </w:tr>
      <w:tr w:rsidR="00EF531D" w14:paraId="0FD9F4AE" w14:textId="77777777" w:rsidTr="00467BD5">
        <w:tc>
          <w:tcPr>
            <w:tcW w:w="3074" w:type="dxa"/>
          </w:tcPr>
          <w:p w14:paraId="560807C2" w14:textId="77777777" w:rsidR="00EF531D" w:rsidRPr="0078703F" w:rsidRDefault="00EF531D" w:rsidP="00467BD5">
            <w:pPr>
              <w:jc w:val="center"/>
              <w:rPr>
                <w:sz w:val="20"/>
              </w:rPr>
            </w:pPr>
            <w:r w:rsidRPr="0078703F">
              <w:rPr>
                <w:sz w:val="20"/>
              </w:rPr>
              <w:t>2016/12</w:t>
            </w:r>
          </w:p>
        </w:tc>
        <w:tc>
          <w:tcPr>
            <w:tcW w:w="3075" w:type="dxa"/>
          </w:tcPr>
          <w:p w14:paraId="0D1E7B4A" w14:textId="77777777" w:rsidR="00EF531D" w:rsidRPr="0078703F" w:rsidRDefault="00EF531D" w:rsidP="00467BD5">
            <w:pPr>
              <w:jc w:val="center"/>
              <w:rPr>
                <w:sz w:val="20"/>
              </w:rPr>
            </w:pPr>
            <w:r w:rsidRPr="0078703F">
              <w:rPr>
                <w:sz w:val="20"/>
              </w:rPr>
              <w:t>25.03.2016</w:t>
            </w:r>
          </w:p>
        </w:tc>
        <w:tc>
          <w:tcPr>
            <w:tcW w:w="3075" w:type="dxa"/>
          </w:tcPr>
          <w:p w14:paraId="656C893E" w14:textId="77777777" w:rsidR="00EF531D" w:rsidRPr="0078703F" w:rsidRDefault="00EF531D" w:rsidP="00467BD5">
            <w:pPr>
              <w:jc w:val="center"/>
              <w:rPr>
                <w:sz w:val="20"/>
              </w:rPr>
            </w:pPr>
            <w:r w:rsidRPr="0078703F">
              <w:rPr>
                <w:sz w:val="20"/>
              </w:rPr>
              <w:t>01.04.2016</w:t>
            </w:r>
          </w:p>
        </w:tc>
      </w:tr>
    </w:tbl>
    <w:p w14:paraId="378C72EE" w14:textId="77777777" w:rsidR="00EF531D" w:rsidRDefault="00EF531D" w:rsidP="00EF531D">
      <w:pPr>
        <w:rPr>
          <w:sz w:val="20"/>
        </w:rPr>
      </w:pPr>
    </w:p>
    <w:p w14:paraId="2221E563" w14:textId="77777777" w:rsidR="00343027" w:rsidRDefault="00343027"/>
    <w:sectPr w:rsidR="0034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34D37" w14:textId="77777777" w:rsidR="0070692E" w:rsidRDefault="0070692E" w:rsidP="00EF531D">
      <w:pPr>
        <w:spacing w:after="0" w:line="240" w:lineRule="auto"/>
      </w:pPr>
      <w:r>
        <w:separator/>
      </w:r>
    </w:p>
  </w:endnote>
  <w:endnote w:type="continuationSeparator" w:id="0">
    <w:p w14:paraId="458FC918" w14:textId="77777777" w:rsidR="0070692E" w:rsidRDefault="0070692E" w:rsidP="00EF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D015" w14:textId="24A9F329" w:rsidR="00EF531D" w:rsidRPr="00C9616B" w:rsidRDefault="00C9616B" w:rsidP="00C9616B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bjFooterEvenPageDocProperty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A770" w14:textId="7891314E" w:rsidR="00EF531D" w:rsidRPr="00C9616B" w:rsidRDefault="00C9616B" w:rsidP="00C9616B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bjFooterBothDocProperty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61523" w14:textId="062F76DA" w:rsidR="00EF531D" w:rsidRPr="00C9616B" w:rsidRDefault="00C9616B" w:rsidP="00C9616B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bjFooterFirstPageDocProperty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4EC0C" w14:textId="77777777" w:rsidR="0070692E" w:rsidRDefault="0070692E" w:rsidP="00EF531D">
      <w:pPr>
        <w:spacing w:after="0" w:line="240" w:lineRule="auto"/>
      </w:pPr>
      <w:r>
        <w:separator/>
      </w:r>
    </w:p>
  </w:footnote>
  <w:footnote w:type="continuationSeparator" w:id="0">
    <w:p w14:paraId="79361CAB" w14:textId="77777777" w:rsidR="0070692E" w:rsidRDefault="0070692E" w:rsidP="00EF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13562" w14:textId="77777777" w:rsidR="00EF531D" w:rsidRDefault="00EF53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D1DB" w14:textId="77777777" w:rsidR="00EF531D" w:rsidRDefault="00EF53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EFE0" w14:textId="77777777" w:rsidR="00EF531D" w:rsidRDefault="00EF53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748EE"/>
    <w:multiLevelType w:val="hybridMultilevel"/>
    <w:tmpl w:val="B290DFC8"/>
    <w:lvl w:ilvl="0" w:tplc="95486F88">
      <w:start w:val="1"/>
      <w:numFmt w:val="lowerLetter"/>
      <w:lvlText w:val="(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37"/>
    <w:rsid w:val="00007BFE"/>
    <w:rsid w:val="00343027"/>
    <w:rsid w:val="00501737"/>
    <w:rsid w:val="00673F3F"/>
    <w:rsid w:val="0067618E"/>
    <w:rsid w:val="0070692E"/>
    <w:rsid w:val="00C9616B"/>
    <w:rsid w:val="00E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BFD8D"/>
  <w15:chartTrackingRefBased/>
  <w15:docId w15:val="{16FD0747-FB98-40D4-B266-32D1734F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31D"/>
    <w:pPr>
      <w:spacing w:after="180" w:line="276" w:lineRule="auto"/>
    </w:pPr>
    <w:rPr>
      <w:rFonts w:ascii="Arial" w:eastAsia="Times New Roman" w:hAnsi="Arial" w:cs="Arial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EF531D"/>
    <w:pPr>
      <w:keepLines/>
      <w:spacing w:before="280" w:after="280"/>
      <w:outlineLvl w:val="1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F531D"/>
    <w:rPr>
      <w:rFonts w:ascii="Arial" w:eastAsia="Times New Roman" w:hAnsi="Arial" w:cs="Arial"/>
      <w:b/>
      <w:sz w:val="36"/>
      <w:szCs w:val="20"/>
      <w:lang w:eastAsia="tr-TR"/>
    </w:rPr>
  </w:style>
  <w:style w:type="table" w:styleId="TabloKlavuzu">
    <w:name w:val="Table Grid"/>
    <w:basedOn w:val="NormalTablo"/>
    <w:uiPriority w:val="39"/>
    <w:rsid w:val="00EF531D"/>
    <w:pPr>
      <w:spacing w:after="0" w:line="240" w:lineRule="auto"/>
    </w:pPr>
    <w:rPr>
      <w:rFonts w:ascii="Arial" w:eastAsia="Times New Roman" w:hAnsi="Arial" w:cs="Arial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ListeParagraf">
    <w:name w:val="List Paragraph"/>
    <w:aliases w:val="içindekiler vbCxSpLast"/>
    <w:basedOn w:val="Normal"/>
    <w:link w:val="ListeParagrafChar"/>
    <w:uiPriority w:val="34"/>
    <w:qFormat/>
    <w:rsid w:val="00EF531D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isteParagrafChar">
    <w:name w:val="Liste Paragraf Char"/>
    <w:aliases w:val="içindekiler vbCxSpLast Char"/>
    <w:basedOn w:val="VarsaylanParagrafYazTipi"/>
    <w:link w:val="ListeParagraf"/>
    <w:uiPriority w:val="34"/>
    <w:rsid w:val="00EF531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31D"/>
    <w:rPr>
      <w:rFonts w:ascii="Arial" w:eastAsia="Times New Roman" w:hAnsi="Arial" w:cs="Arial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31D"/>
    <w:rPr>
      <w:rFonts w:ascii="Arial" w:eastAsia="Times New Roman" w:hAnsi="Arial" w:cs="Arial"/>
      <w:szCs w:val="20"/>
      <w:lang w:eastAsia="tr-TR"/>
    </w:rPr>
  </w:style>
  <w:style w:type="character" w:customStyle="1" w:styleId="document-info-data">
    <w:name w:val="document-info-data"/>
    <w:rsid w:val="00C9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84593B28-9F7C-4289-A9CA-2370B0C58A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EGM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6</cp:revision>
  <cp:lastPrinted>2023-08-08T13:09:00Z</cp:lastPrinted>
  <dcterms:created xsi:type="dcterms:W3CDTF">2022-12-15T09:06:00Z</dcterms:created>
  <dcterms:modified xsi:type="dcterms:W3CDTF">2023-08-08T13:09:00Z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d4f1cd8b-f2e4-4027-b390-11f3afe89288</vt:lpwstr>
  </property>
  <property fmtid="{D5CDD505-2E9C-101B-9397-08002B2CF9AE}" pid="3" name="bjSaver">
    <vt:lpwstr>iZryUG4O9W7v4YkSJ4oIH8Eo71bnL+pl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