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3570D" w14:textId="77777777" w:rsidR="00BB2CDC" w:rsidRPr="000757CF" w:rsidRDefault="00BB2CDC" w:rsidP="00BB2CDC">
      <w:pPr>
        <w:tabs>
          <w:tab w:val="left" w:pos="993"/>
          <w:tab w:val="right" w:pos="9072"/>
        </w:tabs>
        <w:autoSpaceDE w:val="0"/>
        <w:autoSpaceDN w:val="0"/>
        <w:adjustRightInd w:val="0"/>
        <w:spacing w:after="120"/>
        <w:jc w:val="left"/>
        <w:rPr>
          <w:rFonts w:ascii="Arial" w:hAnsi="Arial" w:cs="Arial"/>
          <w:b/>
          <w:sz w:val="20"/>
          <w:szCs w:val="20"/>
          <w:u w:val="single"/>
        </w:rPr>
      </w:pPr>
      <w:r w:rsidRPr="00676DEE">
        <w:rPr>
          <w:rFonts w:ascii="Arial" w:hAnsi="Arial" w:cs="Arial"/>
          <w:b/>
          <w:sz w:val="20"/>
          <w:szCs w:val="20"/>
          <w:u w:val="single"/>
        </w:rPr>
        <w:t>Hazine ve Maliye Bakanlığından</w:t>
      </w:r>
      <w:r>
        <w:rPr>
          <w:rFonts w:ascii="Arial" w:hAnsi="Arial" w:cs="Arial"/>
          <w:b/>
          <w:sz w:val="20"/>
          <w:szCs w:val="20"/>
          <w:u w:val="single"/>
        </w:rPr>
        <w:t xml:space="preserve"> </w:t>
      </w:r>
      <w:r w:rsidRPr="009F1656">
        <w:rPr>
          <w:rFonts w:ascii="Arial" w:hAnsi="Arial" w:cs="Arial"/>
          <w:b/>
          <w:bCs/>
          <w:sz w:val="20"/>
          <w:szCs w:val="20"/>
          <w:u w:val="single"/>
        </w:rPr>
        <w:t>04/12/2018</w:t>
      </w:r>
    </w:p>
    <w:p w14:paraId="67CF933E" w14:textId="77777777" w:rsidR="00BB2CDC" w:rsidRPr="00676DEE" w:rsidRDefault="00BB2CDC" w:rsidP="00BB2CDC">
      <w:pPr>
        <w:pStyle w:val="Balk2"/>
      </w:pPr>
      <w:bookmarkStart w:id="0" w:name="_Toc10203552"/>
      <w:bookmarkStart w:id="1" w:name="_Toc91679093"/>
      <w:bookmarkStart w:id="2" w:name="_Toc105418724"/>
      <w:bookmarkStart w:id="3" w:name="_Toc126143808"/>
      <w:r w:rsidRPr="00676DEE">
        <w:t>Bireysel Emeklilik Sistemi, Otomatik Katılım Uygulama Esasları Hakkında Sektör Duyurusunda (2016/30) Değişiklik Yapılması Hakkında Sektör Duyurusu (2018/1)</w:t>
      </w:r>
      <w:bookmarkEnd w:id="0"/>
      <w:bookmarkEnd w:id="1"/>
      <w:bookmarkEnd w:id="2"/>
      <w:bookmarkEnd w:id="3"/>
    </w:p>
    <w:p w14:paraId="2150A5BD" w14:textId="77777777" w:rsidR="00BB2CDC" w:rsidRPr="00676DEE" w:rsidRDefault="00BB2CDC" w:rsidP="00BB2CDC">
      <w:pPr>
        <w:tabs>
          <w:tab w:val="left" w:pos="993"/>
        </w:tabs>
        <w:spacing w:after="120"/>
        <w:rPr>
          <w:rFonts w:ascii="Arial" w:hAnsi="Arial" w:cs="Arial"/>
          <w:sz w:val="20"/>
          <w:szCs w:val="20"/>
        </w:rPr>
      </w:pPr>
      <w:r w:rsidRPr="00676DEE">
        <w:rPr>
          <w:rFonts w:ascii="Arial" w:hAnsi="Arial" w:cs="Arial"/>
          <w:sz w:val="20"/>
          <w:szCs w:val="20"/>
        </w:rPr>
        <w:tab/>
      </w:r>
    </w:p>
    <w:p w14:paraId="2DF312F0"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 xml:space="preserve">20/6/2017 tarihinde yayımlanan Bireysel Emeklilik Sistemi, Otomatik Katılım Uygulama Esasları Hakkında Sektör Duyurusunda (2016/30) Başbakanlık Yardımcılığı Makamınca (mülga) belirlenmiş olan 4632 Sayılı Kanun Kapsamında Sunulan Fonlara İlişkin Uygulama Esaslarının </w:t>
      </w:r>
    </w:p>
    <w:p w14:paraId="612A3B68"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I. Bölümünün “1.1. Başlangıç Fonlarına ve Standart Fonlara İlişkin Uygulama Esasları” başlığındaki “A. Başlangıç Fonu” altbaşlığındaki</w:t>
      </w:r>
    </w:p>
    <w:p w14:paraId="2C35E3CB"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w:t>
      </w:r>
      <w:r w:rsidRPr="009F1656">
        <w:rPr>
          <w:rFonts w:ascii="Arial" w:eastAsia="ヒラギノ明朝 Pro W3" w:hAnsi="Arial" w:cs="Arial"/>
          <w:i/>
          <w:noProof w:val="0"/>
          <w:kern w:val="0"/>
          <w:position w:val="0"/>
          <w:sz w:val="20"/>
          <w:szCs w:val="20"/>
          <w:lang w:eastAsia="tr-TR"/>
        </w:rPr>
        <w:t>Başlangıç fonu (“faiz içeren”) olarak tanımlanan fon portföyünün en az yüzde altmışı, Türk Lirası cinsinden mevduat ve/veya katılma hesabında; en az yüzde yirmisi Müsteşarlıkça ihraç edilen Türk Lirası cinsinden azami 184 gün vadeli ve/veya vadesine azami 184 gün kalmış borçlanma araçlarında, gelir ortaklığı senetleri ve/veya kira sertifikalarında, kalanı ters repoda, Takasbank ve/veya yurt içi organize para piyasası işlemlerinde, vaad sözleşmelerinde yatırıma yönlendirilir.</w:t>
      </w:r>
    </w:p>
    <w:p w14:paraId="2A70A283"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Başlangıç fonu (“faiz içermeyen”) olarak tanımlanan fon portföyünün en az yüzde altmışı Türk Lirası cinsinden katılma hesaplarında ve bankalarca ihraç edilen borsada işlem gören Türk Lirası cinsinden azami 184 gün vadeli veya vadesine azami 184 gün kalmış kira sertifikalarında olmak üzere, kalanı vaad sözleşmelerinde, Türk Lirası cinsinden Müsteşarlıkça ihraç edilen 184 gün vadeli ve/veya vadesine azami 184 gün kalmış gelir ortaklığı senetleri ve/veya kira sertifikalarında yatırıma yönlendirilir</w:t>
      </w:r>
      <w:r w:rsidRPr="009F1656">
        <w:rPr>
          <w:rFonts w:ascii="Arial" w:eastAsia="ヒラギノ明朝 Pro W3" w:hAnsi="Arial" w:cs="Arial"/>
          <w:noProof w:val="0"/>
          <w:kern w:val="0"/>
          <w:position w:val="0"/>
          <w:sz w:val="20"/>
          <w:szCs w:val="20"/>
          <w:lang w:eastAsia="tr-TR"/>
        </w:rPr>
        <w:t xml:space="preserve">.” ve </w:t>
      </w:r>
    </w:p>
    <w:p w14:paraId="3E17452B"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I. Bölümünün “1.1. Başlangıç Fonlarına ve Standart Fonlara İlişkin Uygulama Esasları” başlığındaki “B. Standart Fon” altbaşlığındaki</w:t>
      </w:r>
    </w:p>
    <w:p w14:paraId="1DC56AB3"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w:t>
      </w:r>
      <w:r w:rsidRPr="009F1656">
        <w:rPr>
          <w:rFonts w:ascii="Arial" w:eastAsia="ヒラギノ明朝 Pro W3" w:hAnsi="Arial" w:cs="Arial"/>
          <w:i/>
          <w:noProof w:val="0"/>
          <w:kern w:val="0"/>
          <w:position w:val="0"/>
          <w:sz w:val="20"/>
          <w:szCs w:val="20"/>
          <w:lang w:eastAsia="tr-TR"/>
        </w:rPr>
        <w:t>Standart fon olarak tanımlanan fon portföyünün;</w:t>
      </w:r>
    </w:p>
    <w:p w14:paraId="399B13F8"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1. Asgari yüzde ellisi; Müsteşarlıkça ihraç edilen Türk Lirası cinsinden borçlanma araçlarında, gelir ortaklığı senetlerinde veya kira sertifikalarında yatırıma yönlendirilir.</w:t>
      </w:r>
    </w:p>
    <w:p w14:paraId="0D59DAC0"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2. Asgari yüzde onu;</w:t>
      </w:r>
    </w:p>
    <w:p w14:paraId="4B29C06E"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a. Girişim sermayesi yatırım fonu katılma paylarında,</w:t>
      </w:r>
    </w:p>
    <w:p w14:paraId="1BC81D25"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b. Gayrimenkul yatırım fonu katılma paylarında,</w:t>
      </w:r>
    </w:p>
    <w:p w14:paraId="6712DE78"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c. Türkiye Varlık Fonu’nda ve/veya altyapı projelerine yatırım amacıyla kurulmuş şirketlerin ihraç ettiği sermaye piyasası araçlarında,</w:t>
      </w:r>
    </w:p>
    <w:p w14:paraId="59ED8D1D"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ç. Müsteşarlıkça uygun görülen diğer sermaye piyasası araçlarında,</w:t>
      </w:r>
    </w:p>
    <w:p w14:paraId="094B847B"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yatırıma yönlendirilir. Girişim sermayesi yatırım fonu katılma paylarında yatırıma yönlendirilen tutar toplam fon portföyünün yüzde birinden az olamaz. Bu şartın 01.01.2019 tarihine kadar sağlanması zorunludur. Türkiye Varlık Fonu için herhangi bir yoğunlaşma sınırı uygulanmaz. Ayrıca, bu fıkra kapsamındaki sermaye piyasası araçları için borsa ve/veya organize piyasalarda işlem görme şartı aranmaz.</w:t>
      </w:r>
    </w:p>
    <w:p w14:paraId="31260839"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3. Azami yüzde otuzu; ters repoda, Takasbank ve/veya yurt içi organize para piyasası işlemlerinde, borsada işlem görmesi kaydıyla bankalar veya yatırım yapılabilir seviyede derecelendirme notuna sahip olan diğer ihraççılar tarafından ihraç edilen borçlanma araçlarında ve niteliği itibari ile borçlanma aracı olduğu Sermaye Piyasası Kurulunca (Kurul) kabul edilecek sermaye piyasası araçlarında, Kurul tarafından izahnamesi/ihraç belgesi onaylanan kira sertifikalarında ya da BIST 100, BIST Sürdürülebilirlik Endeksi ve Borsa İstanbul A.Ş. tarafından hesaplanan katılım endekslerindeki paylarda, kıymetli madenlerde, kıymetli madenlere dayalı sermaye piyasası araçlarında, yatırım fonu katılma paylarında, borsa yatırım fonu katılma paylarında, yatırım ortaklığı paylarında, ipotek ve varlık teminatlı menkul kıymetlerde, ipoteğe ve varlığa dayalı menkul kıymetlerde, aracı kuruluş ve ortaklık varantlarında, vaad sözleşmelerinde ve Müsteşarlıkça uygun bulunan diğer yatırım araçlarında yatırıma yönlendirilir.</w:t>
      </w:r>
    </w:p>
    <w:p w14:paraId="1B164CA0"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Ters repo ve Takasbank ve/veya yurtiçi organize para piyasası işlemlerinde değerlendirilecek tutar, fon portföyünün yüzde ikisini aşamaz.</w:t>
      </w:r>
    </w:p>
    <w:p w14:paraId="41864867"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lastRenderedPageBreak/>
        <w:t xml:space="preserve">4. Azami yüzde kırkı; Türk Lirası cinsinden mevduatta ve katılma hesabında yatırıma yönlendirilir. Bu kapsamda, yatırıma </w:t>
      </w:r>
      <w:bookmarkStart w:id="4" w:name="_GoBack"/>
      <w:bookmarkEnd w:id="4"/>
      <w:r w:rsidRPr="009F1656">
        <w:rPr>
          <w:rFonts w:ascii="Arial" w:eastAsia="ヒラギノ明朝 Pro W3" w:hAnsi="Arial" w:cs="Arial"/>
          <w:i/>
          <w:noProof w:val="0"/>
          <w:kern w:val="0"/>
          <w:position w:val="0"/>
          <w:sz w:val="20"/>
          <w:szCs w:val="20"/>
          <w:lang w:eastAsia="tr-TR"/>
        </w:rPr>
        <w:t>yönlendirilen fon tutarının asgari yüzde onu, altı ay ve daha uzun vadeli mevduat/katılma hesaplarında değerlendirilir</w:t>
      </w:r>
      <w:r w:rsidRPr="009F1656">
        <w:rPr>
          <w:rFonts w:ascii="Arial" w:eastAsia="ヒラギノ明朝 Pro W3" w:hAnsi="Arial" w:cs="Arial"/>
          <w:noProof w:val="0"/>
          <w:kern w:val="0"/>
          <w:position w:val="0"/>
          <w:sz w:val="20"/>
          <w:szCs w:val="20"/>
          <w:lang w:eastAsia="tr-TR"/>
        </w:rPr>
        <w:t>.” hükümleri ile</w:t>
      </w:r>
    </w:p>
    <w:p w14:paraId="57946CAF"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 xml:space="preserve">“Diğer Esaslar” başlıklı III. Bölümündeki </w:t>
      </w:r>
    </w:p>
    <w:p w14:paraId="741A6A89"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“Başlangıç fonları ve standart fonların yönetiminde, 1.1. no.lu maddede belirtilen fon portföyüne alınacak varlıklara ilişkin oranlara ek olarak, “Emeklilik Yatırım Fonlarının Kuruluş ve Faaliyetlerine İlişkin Esaslar Hakkında Yönetmelik”te yer alan ve bu maddede belirtilmeyen diğer ilgili portföy sınırlamalarına ilişkin hükümler saklıdır.”,</w:t>
      </w:r>
    </w:p>
    <w:p w14:paraId="3475F85D" w14:textId="77777777" w:rsidR="00BB2CDC" w:rsidRPr="009F1656" w:rsidRDefault="00BB2CDC" w:rsidP="00BB2CDC">
      <w:pPr>
        <w:spacing w:line="276" w:lineRule="auto"/>
        <w:ind w:left="170"/>
        <w:jc w:val="left"/>
        <w:rPr>
          <w:rFonts w:ascii="Arial" w:eastAsia="ヒラギノ明朝 Pro W3" w:hAnsi="Arial" w:cs="Arial"/>
          <w:i/>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“Bir şirket tarafından; 4632 sayılı Kanun kapsamında sunulan emeklilik yatırım fonu net varlık değeri toplamının yüzde kırkından fazlası, 01/01/2018 tarihinden itibaren aynı portföy yönetim şirketi tarafından yönetilemez. Bu maddenin uygulanmasında, portföy yönetim şirketleri belirlenirken bir önceki takvim yılı sonundaki fon net varlık değerleri esas alınır. Bu maddenin 2018 yılı için uygulanmasında, ilgili emeklilik şirketinin 31/12/2017 tarihli toplam (bireysel emeklilik ve otomatik katılım sistemleri) emeklilik fonlarına ilişkin varlık değeri hesaplamaya esas alınacaktır. Bu hükme aykırılıkların şirketler tarafından içinde bulunulan yılın ilk iki ayı içinde giderilmesi gerekir.” ve</w:t>
      </w:r>
    </w:p>
    <w:p w14:paraId="2CC5E586"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i/>
          <w:noProof w:val="0"/>
          <w:kern w:val="0"/>
          <w:position w:val="0"/>
          <w:sz w:val="20"/>
          <w:szCs w:val="20"/>
          <w:lang w:eastAsia="tr-TR"/>
        </w:rPr>
        <w:t>“Rehber’in “Nemalandırma” başlıklı alt bölümüne ilişkin düzenleme çerçevesinde, otomatik katılım sisteminde sunulan faiz içeren değişken fonlar ile standart fonların pay alım talimatlarının gerçekleştirilmesi işlemleri sırasında başlangıç fonlarında nemalandırılması esastır.”</w:t>
      </w:r>
    </w:p>
    <w:p w14:paraId="3F030213" w14:textId="77777777" w:rsidR="00BB2CDC" w:rsidRPr="009F1656" w:rsidRDefault="00BB2CDC" w:rsidP="00BB2CDC">
      <w:pPr>
        <w:spacing w:line="276" w:lineRule="auto"/>
        <w:ind w:left="170"/>
        <w:jc w:val="left"/>
        <w:rPr>
          <w:rFonts w:ascii="Arial" w:eastAsia="ヒラギノ明朝 Pro W3" w:hAnsi="Arial" w:cs="Arial"/>
          <w:noProof w:val="0"/>
          <w:kern w:val="0"/>
          <w:position w:val="0"/>
          <w:sz w:val="20"/>
          <w:szCs w:val="20"/>
          <w:lang w:eastAsia="tr-TR"/>
        </w:rPr>
      </w:pPr>
      <w:r w:rsidRPr="009F1656">
        <w:rPr>
          <w:rFonts w:ascii="Arial" w:eastAsia="ヒラギノ明朝 Pro W3" w:hAnsi="Arial" w:cs="Arial"/>
          <w:noProof w:val="0"/>
          <w:kern w:val="0"/>
          <w:position w:val="0"/>
          <w:sz w:val="20"/>
          <w:szCs w:val="20"/>
          <w:lang w:eastAsia="tr-TR"/>
        </w:rPr>
        <w:t>hükümleri yürürlükten kaldırılmış olup, söz konusu değişiklik yayımı tarihinde yürürlüğe girecektir.</w:t>
      </w:r>
    </w:p>
    <w:p w14:paraId="348AA6C8"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3E20B" w14:textId="77777777" w:rsidR="00BB2CDC" w:rsidRDefault="00BB2CDC" w:rsidP="00BB2CDC">
      <w:r>
        <w:separator/>
      </w:r>
    </w:p>
  </w:endnote>
  <w:endnote w:type="continuationSeparator" w:id="0">
    <w:p w14:paraId="7EE268A9" w14:textId="77777777" w:rsidR="00BB2CDC" w:rsidRDefault="00BB2CDC" w:rsidP="00BB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250B" w14:textId="68E68C8F" w:rsidR="00BB2CDC" w:rsidRPr="00BB2CDC" w:rsidRDefault="00BB2CDC" w:rsidP="00BB2CDC">
    <w:pPr>
      <w:pStyle w:val="AltBilgi"/>
      <w:jc w:val="left"/>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bjFooterEvenPageDocProperty \* MERGEFORMAT </w:instrText>
    </w:r>
    <w:r>
      <w:rPr>
        <w:rFonts w:ascii="Arial" w:hAnsi="Arial" w:cs="Arial"/>
        <w:sz w:val="20"/>
        <w:szCs w:val="20"/>
        <w:lang w:eastAsia="tr-TR"/>
      </w:rPr>
      <w:fldChar w:fldCharType="separate"/>
    </w:r>
    <w:r w:rsidRPr="00385586">
      <w:rPr>
        <w:rFonts w:ascii="Malgun Gothic" w:eastAsia="Malgun Gothic" w:hAnsi="Malgun Gothic" w:cs="Arial"/>
        <w:b/>
        <w:bCs/>
        <w:color w:val="999999"/>
        <w:sz w:val="20"/>
        <w:szCs w:val="20"/>
        <w:lang w:eastAsia="tr-TR"/>
      </w:rPr>
      <w:t>Sınıflandırma|</w:t>
    </w:r>
    <w:r w:rsidRPr="00385586">
      <w:rPr>
        <w:rFonts w:ascii="Malgun Gothic" w:eastAsia="Malgun Gothic" w:hAnsi="Malgun Gothic" w:cs="Arial"/>
        <w:b/>
        <w:bCs/>
        <w:color w:val="339966"/>
        <w:sz w:val="20"/>
        <w:szCs w:val="20"/>
        <w:lang w:eastAsia="tr-TR"/>
      </w:rPr>
      <w:t>Genel</w:t>
    </w:r>
    <w:r>
      <w:rPr>
        <w:rFonts w:ascii="Arial" w:hAnsi="Arial" w:cs="Arial"/>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D548" w14:textId="5A85D52D" w:rsidR="00BB2CDC" w:rsidRPr="00BB2CDC" w:rsidRDefault="00BB2CDC" w:rsidP="00BB2CDC">
    <w:pPr>
      <w:pStyle w:val="AltBilgi"/>
      <w:jc w:val="left"/>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bjFooterBothDocProperty \* MERGEFORMAT </w:instrText>
    </w:r>
    <w:r>
      <w:rPr>
        <w:rFonts w:ascii="Arial" w:hAnsi="Arial" w:cs="Arial"/>
        <w:sz w:val="20"/>
        <w:szCs w:val="20"/>
        <w:lang w:eastAsia="tr-TR"/>
      </w:rPr>
      <w:fldChar w:fldCharType="separate"/>
    </w:r>
    <w:r w:rsidRPr="00385586">
      <w:rPr>
        <w:rFonts w:ascii="Malgun Gothic" w:eastAsia="Malgun Gothic" w:hAnsi="Malgun Gothic" w:cs="Arial"/>
        <w:b/>
        <w:bCs/>
        <w:color w:val="999999"/>
        <w:sz w:val="20"/>
        <w:szCs w:val="20"/>
        <w:lang w:eastAsia="tr-TR"/>
      </w:rPr>
      <w:t>Sınıflandırma|</w:t>
    </w:r>
    <w:r w:rsidRPr="00385586">
      <w:rPr>
        <w:rFonts w:ascii="Malgun Gothic" w:eastAsia="Malgun Gothic" w:hAnsi="Malgun Gothic" w:cs="Arial"/>
        <w:b/>
        <w:bCs/>
        <w:color w:val="339966"/>
        <w:sz w:val="20"/>
        <w:szCs w:val="20"/>
        <w:lang w:eastAsia="tr-TR"/>
      </w:rPr>
      <w:t>Genel</w:t>
    </w:r>
    <w:r>
      <w:rPr>
        <w:rFonts w:ascii="Arial" w:hAnsi="Arial" w:cs="Arial"/>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4334" w14:textId="255F8063" w:rsidR="00BB2CDC" w:rsidRPr="00BB2CDC" w:rsidRDefault="00BB2CDC" w:rsidP="00BB2CDC">
    <w:pPr>
      <w:pStyle w:val="AltBilgi"/>
      <w:jc w:val="left"/>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bjFooterFirstPageDocProperty \* MERGEFORMAT </w:instrText>
    </w:r>
    <w:r>
      <w:rPr>
        <w:rFonts w:ascii="Arial" w:hAnsi="Arial" w:cs="Arial"/>
        <w:sz w:val="20"/>
        <w:szCs w:val="20"/>
        <w:lang w:eastAsia="tr-TR"/>
      </w:rPr>
      <w:fldChar w:fldCharType="separate"/>
    </w:r>
    <w:r w:rsidRPr="00385586">
      <w:rPr>
        <w:rFonts w:ascii="Malgun Gothic" w:eastAsia="Malgun Gothic" w:hAnsi="Malgun Gothic" w:cs="Arial"/>
        <w:b/>
        <w:bCs/>
        <w:color w:val="999999"/>
        <w:sz w:val="20"/>
        <w:szCs w:val="20"/>
        <w:lang w:eastAsia="tr-TR"/>
      </w:rPr>
      <w:t>Sınıflandırma|</w:t>
    </w:r>
    <w:r w:rsidRPr="00385586">
      <w:rPr>
        <w:rFonts w:ascii="Malgun Gothic" w:eastAsia="Malgun Gothic" w:hAnsi="Malgun Gothic" w:cs="Arial"/>
        <w:b/>
        <w:bCs/>
        <w:color w:val="339966"/>
        <w:sz w:val="20"/>
        <w:szCs w:val="20"/>
        <w:lang w:eastAsia="tr-TR"/>
      </w:rPr>
      <w:t>Genel</w:t>
    </w:r>
    <w:r>
      <w:rPr>
        <w:rFonts w:ascii="Arial" w:hAnsi="Arial" w:cs="Arial"/>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A0CE2" w14:textId="77777777" w:rsidR="00BB2CDC" w:rsidRDefault="00BB2CDC" w:rsidP="00BB2CDC">
      <w:r>
        <w:separator/>
      </w:r>
    </w:p>
  </w:footnote>
  <w:footnote w:type="continuationSeparator" w:id="0">
    <w:p w14:paraId="0FDC50A3" w14:textId="77777777" w:rsidR="00BB2CDC" w:rsidRDefault="00BB2CDC" w:rsidP="00BB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9421" w14:textId="77777777" w:rsidR="00BB2CDC" w:rsidRDefault="00BB2C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F787" w14:textId="77777777" w:rsidR="00BB2CDC" w:rsidRDefault="00BB2C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2D69" w14:textId="77777777" w:rsidR="00BB2CDC" w:rsidRDefault="00BB2C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E2"/>
    <w:rsid w:val="002C47E2"/>
    <w:rsid w:val="00626E7B"/>
    <w:rsid w:val="00BB2C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EB6830-115D-462E-8A7D-8E2E33E2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CD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BB2CDC"/>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B2CDC"/>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BB2CDC"/>
    <w:pPr>
      <w:tabs>
        <w:tab w:val="center" w:pos="4536"/>
        <w:tab w:val="right" w:pos="9072"/>
      </w:tabs>
    </w:pPr>
  </w:style>
  <w:style w:type="character" w:customStyle="1" w:styleId="stBilgiChar">
    <w:name w:val="Üst Bilgi Char"/>
    <w:basedOn w:val="VarsaylanParagrafYazTipi"/>
    <w:link w:val="stBilgi"/>
    <w:uiPriority w:val="99"/>
    <w:rsid w:val="00BB2CD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BB2CDC"/>
    <w:pPr>
      <w:tabs>
        <w:tab w:val="center" w:pos="4536"/>
        <w:tab w:val="right" w:pos="9072"/>
      </w:tabs>
    </w:pPr>
  </w:style>
  <w:style w:type="character" w:customStyle="1" w:styleId="AltBilgiChar">
    <w:name w:val="Alt Bilgi Char"/>
    <w:basedOn w:val="VarsaylanParagrafYazTipi"/>
    <w:link w:val="AltBilgi"/>
    <w:uiPriority w:val="99"/>
    <w:rsid w:val="00BB2CD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B011D18-3011-44CE-8EEE-A179855B19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4715</Characters>
  <Application>Microsoft Office Word</Application>
  <DocSecurity>0</DocSecurity>
  <Lines>39</Lines>
  <Paragraphs>11</Paragraphs>
  <ScaleCrop>false</ScaleCrop>
  <Company>Emeklilik Gozetim Merkezi</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2023-02-13T07:12:00Z</dcterms:created>
  <dcterms:modified xsi:type="dcterms:W3CDTF">2023-02-13T07:13:00Z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134ee0ab-0684-4017-b32d-a3494672d7da</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