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6C9" w:rsidRDefault="00C836C9" w:rsidP="00C836C9">
      <w:pPr>
        <w:widowControl w:val="0"/>
        <w:autoSpaceDE w:val="0"/>
        <w:autoSpaceDN w:val="0"/>
        <w:adjustRightInd w:val="0"/>
        <w:spacing w:after="0" w:line="240" w:lineRule="auto"/>
        <w:ind w:left="170" w:right="170"/>
        <w:rPr>
          <w:rFonts w:eastAsiaTheme="minorHAnsi"/>
          <w:b/>
          <w:bCs/>
          <w:sz w:val="20"/>
          <w:szCs w:val="22"/>
          <w:u w:val="single"/>
          <w:lang w:eastAsia="en-US"/>
        </w:rPr>
      </w:pPr>
    </w:p>
    <w:p w:rsidR="00C836C9" w:rsidRDefault="00C836C9" w:rsidP="00C836C9">
      <w:pPr>
        <w:widowControl w:val="0"/>
        <w:autoSpaceDE w:val="0"/>
        <w:autoSpaceDN w:val="0"/>
        <w:adjustRightInd w:val="0"/>
        <w:spacing w:after="0" w:line="240" w:lineRule="auto"/>
        <w:ind w:left="170" w:right="170"/>
        <w:rPr>
          <w:rFonts w:eastAsiaTheme="minorHAnsi"/>
          <w:b/>
          <w:bCs/>
          <w:sz w:val="20"/>
          <w:szCs w:val="22"/>
          <w:u w:val="single"/>
          <w:lang w:eastAsia="en-US"/>
        </w:rPr>
      </w:pPr>
    </w:p>
    <w:p w:rsidR="00C836C9" w:rsidRDefault="00C836C9" w:rsidP="00C836C9">
      <w:pPr>
        <w:widowControl w:val="0"/>
        <w:autoSpaceDE w:val="0"/>
        <w:autoSpaceDN w:val="0"/>
        <w:adjustRightInd w:val="0"/>
        <w:spacing w:after="0" w:line="240" w:lineRule="auto"/>
        <w:ind w:left="170" w:right="170"/>
        <w:rPr>
          <w:rFonts w:eastAsiaTheme="minorHAnsi"/>
          <w:b/>
          <w:bCs/>
          <w:sz w:val="20"/>
          <w:szCs w:val="22"/>
          <w:u w:val="single"/>
          <w:lang w:eastAsia="en-US"/>
        </w:rPr>
      </w:pPr>
    </w:p>
    <w:p w:rsidR="00C836C9" w:rsidRDefault="00C836C9" w:rsidP="00C836C9">
      <w:pPr>
        <w:widowControl w:val="0"/>
        <w:autoSpaceDE w:val="0"/>
        <w:autoSpaceDN w:val="0"/>
        <w:adjustRightInd w:val="0"/>
        <w:spacing w:after="0" w:line="240" w:lineRule="auto"/>
        <w:ind w:left="170" w:right="170"/>
        <w:rPr>
          <w:rFonts w:eastAsiaTheme="minorHAnsi"/>
          <w:b/>
          <w:bCs/>
          <w:sz w:val="20"/>
          <w:szCs w:val="22"/>
          <w:u w:val="single"/>
          <w:lang w:eastAsia="en-US"/>
        </w:rPr>
      </w:pPr>
    </w:p>
    <w:p w:rsidR="00C836C9" w:rsidRDefault="00C836C9" w:rsidP="00C836C9">
      <w:pPr>
        <w:widowControl w:val="0"/>
        <w:autoSpaceDE w:val="0"/>
        <w:autoSpaceDN w:val="0"/>
        <w:adjustRightInd w:val="0"/>
        <w:spacing w:after="0" w:line="240" w:lineRule="auto"/>
        <w:ind w:left="170" w:right="170"/>
        <w:rPr>
          <w:rFonts w:eastAsiaTheme="minorHAnsi"/>
          <w:b/>
          <w:bCs/>
          <w:sz w:val="20"/>
          <w:szCs w:val="22"/>
          <w:u w:val="single"/>
          <w:lang w:eastAsia="en-US"/>
        </w:rPr>
      </w:pPr>
    </w:p>
    <w:p w:rsidR="00C836C9" w:rsidRDefault="00C836C9" w:rsidP="00C836C9">
      <w:pPr>
        <w:widowControl w:val="0"/>
        <w:autoSpaceDE w:val="0"/>
        <w:autoSpaceDN w:val="0"/>
        <w:adjustRightInd w:val="0"/>
        <w:spacing w:after="0" w:line="240" w:lineRule="auto"/>
        <w:ind w:left="170" w:right="170"/>
        <w:rPr>
          <w:rFonts w:eastAsiaTheme="minorHAnsi"/>
          <w:b/>
          <w:bCs/>
          <w:sz w:val="20"/>
          <w:szCs w:val="22"/>
          <w:u w:val="single"/>
          <w:lang w:eastAsia="en-US"/>
        </w:rPr>
      </w:pPr>
    </w:p>
    <w:p w:rsidR="00C836C9" w:rsidRDefault="00C836C9" w:rsidP="00C836C9">
      <w:pPr>
        <w:widowControl w:val="0"/>
        <w:autoSpaceDE w:val="0"/>
        <w:autoSpaceDN w:val="0"/>
        <w:adjustRightInd w:val="0"/>
        <w:spacing w:after="0" w:line="240" w:lineRule="auto"/>
        <w:ind w:left="170" w:right="170"/>
        <w:rPr>
          <w:rFonts w:eastAsiaTheme="minorHAnsi"/>
          <w:b/>
          <w:bCs/>
          <w:sz w:val="20"/>
          <w:szCs w:val="22"/>
          <w:u w:val="single"/>
          <w:lang w:eastAsia="en-US"/>
        </w:rPr>
      </w:pPr>
      <w:r>
        <w:rPr>
          <w:rFonts w:eastAsiaTheme="minorHAnsi"/>
          <w:b/>
          <w:bCs/>
          <w:sz w:val="20"/>
          <w:szCs w:val="22"/>
          <w:u w:val="single"/>
          <w:lang w:eastAsia="en-US"/>
        </w:rPr>
        <w:t>Resmi Gazete Dışından Kaynak</w:t>
      </w:r>
    </w:p>
    <w:p w:rsidR="00C836C9" w:rsidRDefault="00C836C9" w:rsidP="00C836C9">
      <w:pPr>
        <w:widowControl w:val="0"/>
        <w:autoSpaceDE w:val="0"/>
        <w:autoSpaceDN w:val="0"/>
        <w:adjustRightInd w:val="0"/>
        <w:spacing w:after="0" w:line="240" w:lineRule="auto"/>
        <w:ind w:left="170" w:right="170"/>
        <w:rPr>
          <w:rFonts w:eastAsiaTheme="minorHAnsi"/>
          <w:b/>
          <w:bCs/>
          <w:sz w:val="20"/>
          <w:szCs w:val="22"/>
        </w:rPr>
      </w:pPr>
      <w:r>
        <w:rPr>
          <w:rFonts w:eastAsiaTheme="minorHAnsi"/>
          <w:b/>
          <w:bCs/>
          <w:sz w:val="20"/>
          <w:szCs w:val="22"/>
          <w:u w:val="single"/>
          <w:lang w:eastAsia="en-US"/>
        </w:rPr>
        <w:t>Sigortacılık ve Özel Emeklilik Düzenleme ve Denetleme Kurumu</w:t>
      </w:r>
      <w:r>
        <w:rPr>
          <w:rFonts w:eastAsiaTheme="minorHAnsi"/>
          <w:b/>
          <w:bCs/>
          <w:sz w:val="20"/>
          <w:szCs w:val="22"/>
        </w:rPr>
        <w:tab/>
      </w:r>
      <w:r>
        <w:rPr>
          <w:rFonts w:eastAsiaTheme="minorHAnsi"/>
          <w:b/>
          <w:bCs/>
          <w:sz w:val="20"/>
          <w:szCs w:val="22"/>
        </w:rPr>
        <w:tab/>
      </w:r>
      <w:r>
        <w:rPr>
          <w:rFonts w:eastAsiaTheme="minorHAnsi"/>
          <w:b/>
          <w:bCs/>
          <w:sz w:val="20"/>
          <w:szCs w:val="22"/>
        </w:rPr>
        <w:tab/>
        <w:t>3</w:t>
      </w:r>
      <w:r>
        <w:rPr>
          <w:rFonts w:eastAsiaTheme="minorHAnsi"/>
          <w:b/>
          <w:bCs/>
          <w:sz w:val="20"/>
          <w:szCs w:val="22"/>
        </w:rPr>
        <w:t>1</w:t>
      </w:r>
      <w:r>
        <w:rPr>
          <w:rFonts w:eastAsiaTheme="minorHAnsi"/>
          <w:b/>
          <w:bCs/>
          <w:sz w:val="20"/>
          <w:szCs w:val="22"/>
        </w:rPr>
        <w:t>.0</w:t>
      </w:r>
      <w:r>
        <w:rPr>
          <w:rFonts w:eastAsiaTheme="minorHAnsi"/>
          <w:b/>
          <w:bCs/>
          <w:sz w:val="20"/>
          <w:szCs w:val="22"/>
        </w:rPr>
        <w:t>5</w:t>
      </w:r>
      <w:r>
        <w:rPr>
          <w:rFonts w:eastAsiaTheme="minorHAnsi"/>
          <w:b/>
          <w:bCs/>
          <w:sz w:val="20"/>
          <w:szCs w:val="22"/>
        </w:rPr>
        <w:t>.202</w:t>
      </w:r>
      <w:r>
        <w:rPr>
          <w:rFonts w:eastAsiaTheme="minorHAnsi"/>
          <w:b/>
          <w:bCs/>
          <w:sz w:val="20"/>
          <w:szCs w:val="22"/>
        </w:rPr>
        <w:t>2</w:t>
      </w:r>
    </w:p>
    <w:p w:rsidR="00C836C9" w:rsidRPr="00C836C9" w:rsidRDefault="00C836C9" w:rsidP="00C836C9">
      <w:pPr>
        <w:widowControl w:val="0"/>
        <w:autoSpaceDE w:val="0"/>
        <w:autoSpaceDN w:val="0"/>
        <w:adjustRightInd w:val="0"/>
        <w:spacing w:after="0" w:line="240" w:lineRule="auto"/>
        <w:ind w:left="170" w:right="170"/>
        <w:rPr>
          <w:rStyle w:val="document-info-data"/>
          <w:rFonts w:eastAsiaTheme="minorHAnsi"/>
          <w:b/>
          <w:bCs/>
          <w:sz w:val="20"/>
          <w:szCs w:val="22"/>
        </w:rPr>
      </w:pPr>
    </w:p>
    <w:p w:rsidR="00AB251D" w:rsidRDefault="00BD14CD" w:rsidP="00C836C9">
      <w:pPr>
        <w:pStyle w:val="Balk2"/>
        <w:spacing w:before="0" w:after="0"/>
        <w:ind w:left="600" w:right="900"/>
        <w:jc w:val="center"/>
        <w:rPr>
          <w:rStyle w:val="document-info-data"/>
          <w:sz w:val="24"/>
          <w:szCs w:val="24"/>
        </w:rPr>
      </w:pPr>
      <w:r w:rsidRPr="00C836C9">
        <w:rPr>
          <w:rStyle w:val="document-info-data"/>
          <w:sz w:val="24"/>
          <w:szCs w:val="24"/>
        </w:rPr>
        <w:t>2016/39 Sayılı Bireysel Emeklilik Sistemi Hakkında Genelge'de Değişiklik Yapılmasına İlişkin Genelge</w:t>
      </w:r>
      <w:r w:rsidR="00C836C9">
        <w:rPr>
          <w:rStyle w:val="document-info-data"/>
          <w:sz w:val="24"/>
          <w:szCs w:val="24"/>
        </w:rPr>
        <w:t xml:space="preserve"> (</w:t>
      </w:r>
      <w:r w:rsidR="00C836C9" w:rsidRPr="00C836C9">
        <w:rPr>
          <w:rStyle w:val="document-info-data"/>
          <w:sz w:val="24"/>
          <w:szCs w:val="24"/>
        </w:rPr>
        <w:t>2022/17</w:t>
      </w:r>
      <w:r w:rsidR="00C836C9">
        <w:rPr>
          <w:rStyle w:val="document-info-data"/>
          <w:sz w:val="24"/>
          <w:szCs w:val="24"/>
        </w:rPr>
        <w:t>)</w:t>
      </w:r>
      <w:bookmarkStart w:id="0" w:name="_GoBack"/>
      <w:bookmarkEnd w:id="0"/>
    </w:p>
    <w:p w:rsidR="00C836C9" w:rsidRDefault="00C836C9" w:rsidP="00C836C9">
      <w:pPr>
        <w:pStyle w:val="Normal1"/>
        <w:spacing w:after="0"/>
      </w:pPr>
    </w:p>
    <w:p w:rsidR="00C836C9" w:rsidRPr="00C836C9" w:rsidRDefault="00C836C9" w:rsidP="00C836C9">
      <w:pPr>
        <w:pStyle w:val="Normal1"/>
        <w:spacing w:after="0"/>
      </w:pPr>
    </w:p>
    <w:p w:rsidR="00AB251D" w:rsidRPr="00C836C9" w:rsidRDefault="00BD14CD" w:rsidP="00C836C9">
      <w:pPr>
        <w:spacing w:after="0"/>
        <w:jc w:val="both"/>
        <w:rPr>
          <w:b/>
          <w:sz w:val="20"/>
        </w:rPr>
      </w:pPr>
      <w:r w:rsidRPr="00C836C9">
        <w:rPr>
          <w:b/>
          <w:sz w:val="20"/>
        </w:rPr>
        <w:t>MADDE 1</w:t>
      </w:r>
      <w:r w:rsidR="00C836C9" w:rsidRPr="00C836C9">
        <w:rPr>
          <w:b/>
          <w:sz w:val="20"/>
        </w:rPr>
        <w:t xml:space="preserve"> </w:t>
      </w:r>
    </w:p>
    <w:p w:rsidR="00AB251D" w:rsidRPr="00C836C9" w:rsidRDefault="00BD14CD" w:rsidP="00C836C9">
      <w:pPr>
        <w:jc w:val="both"/>
        <w:rPr>
          <w:b/>
          <w:sz w:val="20"/>
        </w:rPr>
      </w:pPr>
      <w:r w:rsidRPr="00C836C9">
        <w:rPr>
          <w:sz w:val="20"/>
        </w:rPr>
        <w:t>30/12/2016 tarih ve 2016/39 sayılı Bireysel Emeklilik Sistemi Hakkında Genelge’nin “Planlara İlişkin Hükümler” başlıklı ikinci bölü</w:t>
      </w:r>
      <w:r w:rsidRPr="00C836C9">
        <w:rPr>
          <w:sz w:val="20"/>
        </w:rPr>
        <w:t>müne aşağıda madde eklenmiştir.</w:t>
      </w:r>
    </w:p>
    <w:p w:rsidR="00AB251D" w:rsidRPr="00C836C9" w:rsidRDefault="00BD14CD" w:rsidP="00C836C9">
      <w:pPr>
        <w:spacing w:after="0"/>
        <w:jc w:val="both"/>
        <w:rPr>
          <w:b/>
          <w:sz w:val="20"/>
        </w:rPr>
      </w:pPr>
      <w:r w:rsidRPr="00C836C9">
        <w:rPr>
          <w:b/>
          <w:sz w:val="20"/>
        </w:rPr>
        <w:t>"Hediye sertifikaları</w:t>
      </w:r>
    </w:p>
    <w:p w:rsidR="00AB251D" w:rsidRPr="00C836C9" w:rsidRDefault="00BD14CD" w:rsidP="00C836C9">
      <w:pPr>
        <w:spacing w:after="0"/>
        <w:jc w:val="both"/>
        <w:rPr>
          <w:b/>
          <w:sz w:val="20"/>
        </w:rPr>
      </w:pPr>
      <w:r w:rsidRPr="00C836C9">
        <w:rPr>
          <w:b/>
          <w:sz w:val="20"/>
        </w:rPr>
        <w:t>MADDE 15</w:t>
      </w:r>
    </w:p>
    <w:p w:rsidR="00AB251D" w:rsidRPr="00C836C9" w:rsidRDefault="00BD14CD" w:rsidP="00C836C9">
      <w:pPr>
        <w:spacing w:after="0"/>
        <w:jc w:val="both"/>
        <w:rPr>
          <w:b/>
          <w:sz w:val="20"/>
        </w:rPr>
      </w:pPr>
      <w:r w:rsidRPr="00C836C9">
        <w:rPr>
          <w:sz w:val="20"/>
        </w:rPr>
        <w:t>(1) İşveren grup emeklilik ve Kanunun ek 2 nci kapsamında kurulan sözleşmeler hariç olmak üzere, üçüncü kişilerce hediye amaçlı olarak katılımcıların emeklilik sözleşmelerine ek katkı payı ödem</w:t>
      </w:r>
      <w:r w:rsidRPr="00C836C9">
        <w:rPr>
          <w:sz w:val="20"/>
        </w:rPr>
        <w:t>esi yapılması durumunda, katılımcılar nezdinde uygulama birliği sağlanmasını teminen aşağıdaki işlemler takip edilir;</w:t>
      </w:r>
    </w:p>
    <w:p w:rsidR="00AB251D" w:rsidRPr="00C836C9" w:rsidRDefault="00BD14CD" w:rsidP="00C836C9">
      <w:pPr>
        <w:spacing w:after="0"/>
        <w:jc w:val="both"/>
        <w:rPr>
          <w:b/>
          <w:sz w:val="20"/>
        </w:rPr>
      </w:pPr>
      <w:r w:rsidRPr="00C836C9">
        <w:rPr>
          <w:sz w:val="20"/>
        </w:rPr>
        <w:t>(a) Bu hizmeti vermek isteyen şirket, katılımcı adına internet sitesinde veya mobil uygulamada oluşturulan güvenli alanda katılımcının eme</w:t>
      </w:r>
      <w:r w:rsidRPr="00C836C9">
        <w:rPr>
          <w:sz w:val="20"/>
        </w:rPr>
        <w:t>klilik sözleşmesine özgü karekod veya benzeri araçlarla üretilen tanımlayıcı bilgiyi, katılımcının kendisinin veya varsa vasisinin/velisinin rızası ile üçüncü şahıslarca paylaşabilmesi amacıyla katılımcının erişimine sunar.</w:t>
      </w:r>
    </w:p>
    <w:p w:rsidR="00AB251D" w:rsidRPr="00C836C9" w:rsidRDefault="00BD14CD" w:rsidP="00C836C9">
      <w:pPr>
        <w:spacing w:after="0"/>
        <w:jc w:val="both"/>
        <w:rPr>
          <w:b/>
          <w:sz w:val="20"/>
        </w:rPr>
      </w:pPr>
      <w:r w:rsidRPr="00C836C9">
        <w:rPr>
          <w:sz w:val="20"/>
        </w:rPr>
        <w:t>(b) Hediye amaçlı olarak ek katk</w:t>
      </w:r>
      <w:r w:rsidRPr="00C836C9">
        <w:rPr>
          <w:sz w:val="20"/>
        </w:rPr>
        <w:t>ı payı ödemesi yapacak üçüncü kişi, katılımcının emeklilik sözleşmesine özgü üretilen tanımlayıcı bilgi vasıtasıyla şirketin ödeme sayfasına yönlendirilir. Bu sayfada asgari olarak, adına ek katkı payı ödemesi yapılacak emeklilik sözleşmesi sahibinin ad ve</w:t>
      </w:r>
      <w:r w:rsidRPr="00C836C9">
        <w:rPr>
          <w:sz w:val="20"/>
        </w:rPr>
        <w:t xml:space="preserve"> soyad bilgilerine yer verilerek, ek katkı payı olarak ödenecek tutar ve hediye edenin ad ve soyad bilgileri ile iletişim bilgisi (telefon, e-posta vs.) talep edilir. Konuyla ilgili örnek ödeme ekranı şablonu Ek 23’te yer almaktadır.</w:t>
      </w:r>
    </w:p>
    <w:p w:rsidR="00AB251D" w:rsidRPr="00C836C9" w:rsidRDefault="00BD14CD" w:rsidP="00C836C9">
      <w:pPr>
        <w:spacing w:after="0"/>
        <w:jc w:val="both"/>
        <w:rPr>
          <w:b/>
          <w:sz w:val="20"/>
        </w:rPr>
      </w:pPr>
      <w:r w:rsidRPr="00C836C9">
        <w:rPr>
          <w:sz w:val="20"/>
        </w:rPr>
        <w:t>(c) Şirket, hediye ede</w:t>
      </w:r>
      <w:r w:rsidRPr="00C836C9">
        <w:rPr>
          <w:sz w:val="20"/>
        </w:rPr>
        <w:t>nin talebi olması halinde elektronik ve/veya basılı olarak üreteceği hediye sertifikasını hediye edene ve/veya katılımcıya iletir. Şirket, sertifika üretimi karşılığında hizmet bedeli talep edebilir.</w:t>
      </w:r>
    </w:p>
    <w:p w:rsidR="00AB251D" w:rsidRPr="00C836C9" w:rsidRDefault="00BD14CD" w:rsidP="00C836C9">
      <w:pPr>
        <w:spacing w:after="0"/>
        <w:jc w:val="both"/>
        <w:rPr>
          <w:b/>
          <w:sz w:val="20"/>
        </w:rPr>
      </w:pPr>
      <w:r w:rsidRPr="00C836C9">
        <w:rPr>
          <w:sz w:val="20"/>
        </w:rPr>
        <w:t xml:space="preserve">(ç) Yapılan işlem neticesinde elektronik iletişim aracı </w:t>
      </w:r>
      <w:r w:rsidRPr="00C836C9">
        <w:rPr>
          <w:sz w:val="20"/>
        </w:rPr>
        <w:t>ile katılımcıya bilgilendirme yapılır.</w:t>
      </w:r>
    </w:p>
    <w:p w:rsidR="00AB251D" w:rsidRPr="00C836C9" w:rsidRDefault="00BD14CD" w:rsidP="00C836C9">
      <w:pPr>
        <w:spacing w:after="0"/>
        <w:jc w:val="both"/>
        <w:rPr>
          <w:b/>
          <w:sz w:val="20"/>
        </w:rPr>
      </w:pPr>
      <w:r w:rsidRPr="00C836C9">
        <w:rPr>
          <w:sz w:val="20"/>
        </w:rPr>
        <w:t>(2) Bu madde kapsamında katılımcıların emeklilik sözleşmelerine ek katkı payı ödenmesinde Sigortacılık ve Özel Emeklilik Düzenleme ve Denetleme Kurumunun uygun görüşü alınarak farklı yöntemler kullanılabilir.</w:t>
      </w:r>
    </w:p>
    <w:p w:rsidR="00AB251D" w:rsidRDefault="00BD14CD" w:rsidP="00C836C9">
      <w:pPr>
        <w:spacing w:after="0"/>
        <w:jc w:val="both"/>
        <w:rPr>
          <w:sz w:val="20"/>
        </w:rPr>
      </w:pPr>
      <w:r w:rsidRPr="00C836C9">
        <w:rPr>
          <w:sz w:val="20"/>
        </w:rPr>
        <w:t>(3) Sigo</w:t>
      </w:r>
      <w:r w:rsidRPr="00C836C9">
        <w:rPr>
          <w:sz w:val="20"/>
        </w:rPr>
        <w:t>rtacılık ve Özel Emeklilik Düzenleme ve Denetleme Kurumu, bu maddenin uygulanmasına yönelik işlemlerin merkezi olarak gerçekleştirilmesi amacıyla bir kuruluşu görevlendirebilir."</w:t>
      </w:r>
    </w:p>
    <w:p w:rsidR="00C836C9" w:rsidRPr="00C836C9" w:rsidRDefault="00C836C9" w:rsidP="00C836C9">
      <w:pPr>
        <w:spacing w:after="0"/>
        <w:jc w:val="both"/>
        <w:rPr>
          <w:b/>
          <w:sz w:val="20"/>
        </w:rPr>
      </w:pPr>
    </w:p>
    <w:p w:rsidR="00AB251D" w:rsidRPr="00C836C9" w:rsidRDefault="00BD14CD" w:rsidP="00C836C9">
      <w:pPr>
        <w:spacing w:after="0"/>
        <w:jc w:val="both"/>
        <w:rPr>
          <w:b/>
          <w:sz w:val="20"/>
        </w:rPr>
      </w:pPr>
      <w:r w:rsidRPr="00C836C9">
        <w:rPr>
          <w:b/>
          <w:sz w:val="20"/>
        </w:rPr>
        <w:t>MADDE 2</w:t>
      </w:r>
      <w:r w:rsidRPr="00C836C9">
        <w:rPr>
          <w:sz w:val="20"/>
        </w:rPr>
        <w:t>Genelgeye aşağıdaki ek ilave edilmiştir.</w:t>
      </w:r>
    </w:p>
    <w:p w:rsidR="00AB251D" w:rsidRDefault="00BD14CD" w:rsidP="00C836C9">
      <w:pPr>
        <w:spacing w:after="0"/>
        <w:jc w:val="both"/>
        <w:rPr>
          <w:sz w:val="20"/>
        </w:rPr>
      </w:pPr>
      <w:r w:rsidRPr="00C836C9">
        <w:rPr>
          <w:sz w:val="20"/>
        </w:rPr>
        <w:t>“Ek 23: Temsili Hediye Sertif</w:t>
      </w:r>
      <w:r w:rsidRPr="00C836C9">
        <w:rPr>
          <w:sz w:val="20"/>
        </w:rPr>
        <w:t>ikası Şablonu"</w:t>
      </w:r>
    </w:p>
    <w:p w:rsidR="00C836C9" w:rsidRPr="00C836C9" w:rsidRDefault="00C836C9" w:rsidP="00C836C9">
      <w:pPr>
        <w:spacing w:after="0"/>
        <w:jc w:val="both"/>
        <w:rPr>
          <w:b/>
          <w:sz w:val="20"/>
        </w:rPr>
      </w:pPr>
    </w:p>
    <w:p w:rsidR="00AB251D" w:rsidRPr="00C836C9" w:rsidRDefault="00BD14CD" w:rsidP="00C836C9">
      <w:pPr>
        <w:spacing w:after="0"/>
        <w:jc w:val="both"/>
        <w:rPr>
          <w:b/>
          <w:sz w:val="20"/>
        </w:rPr>
      </w:pPr>
      <w:r w:rsidRPr="00C836C9">
        <w:rPr>
          <w:b/>
          <w:sz w:val="20"/>
        </w:rPr>
        <w:t>MADDE 3</w:t>
      </w:r>
      <w:r w:rsidRPr="00C836C9">
        <w:rPr>
          <w:sz w:val="20"/>
        </w:rPr>
        <w:t>Bu Genelge yayımı tarihinde yürürlüğe girer.</w:t>
      </w:r>
    </w:p>
    <w:p w:rsidR="00AB251D" w:rsidRPr="00C836C9" w:rsidRDefault="00AB251D" w:rsidP="00C836C9">
      <w:pPr>
        <w:rPr>
          <w:sz w:val="20"/>
        </w:rPr>
      </w:pPr>
    </w:p>
    <w:p w:rsidR="00AB251D" w:rsidRDefault="00AB251D">
      <w:pPr>
        <w:jc w:val="both"/>
      </w:pPr>
    </w:p>
    <w:sectPr w:rsidR="00AB251D">
      <w:headerReference w:type="even" r:id="rId7"/>
      <w:headerReference w:type="default" r:id="rId8"/>
      <w:footerReference w:type="even" r:id="rId9"/>
      <w:footerReference w:type="default" r:id="rId10"/>
      <w:headerReference w:type="first" r:id="rId11"/>
      <w:footerReference w:type="first" r:id="rId12"/>
      <w:pgSz w:w="12240" w:h="15840"/>
      <w:pgMar w:top="0" w:right="1500" w:bottom="0" w:left="150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4CD" w:rsidRDefault="00BD14CD">
      <w:pPr>
        <w:spacing w:after="0" w:line="240" w:lineRule="auto"/>
      </w:pPr>
      <w:r>
        <w:separator/>
      </w:r>
    </w:p>
  </w:endnote>
  <w:endnote w:type="continuationSeparator" w:id="0">
    <w:p w:rsidR="00BD14CD" w:rsidRDefault="00BD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B62" w:rsidRPr="00A80B62" w:rsidRDefault="00A80B62" w:rsidP="00A80B62">
    <w:pPr>
      <w:pStyle w:val="AltBilgi"/>
    </w:pPr>
    <w:r>
      <w:rPr>
        <w:rFonts w:eastAsiaTheme="minorHAnsi"/>
        <w:b/>
        <w:bCs/>
        <w:sz w:val="20"/>
        <w:szCs w:val="22"/>
      </w:rPr>
      <w:fldChar w:fldCharType="begin" w:fldLock="1"/>
    </w:r>
    <w:r>
      <w:rPr>
        <w:rFonts w:eastAsiaTheme="minorHAnsi"/>
        <w:b/>
        <w:bCs/>
        <w:sz w:val="20"/>
        <w:szCs w:val="22"/>
      </w:rPr>
      <w:instrText xml:space="preserve"> DOCPROPERTY bjFooterEvenPageDocProperty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B62" w:rsidRPr="00A80B62" w:rsidRDefault="00A80B62" w:rsidP="00A80B62">
    <w:pPr>
      <w:pStyle w:val="AltBilgi"/>
    </w:pPr>
    <w:r>
      <w:rPr>
        <w:rFonts w:eastAsiaTheme="minorHAnsi"/>
        <w:b/>
        <w:bCs/>
        <w:sz w:val="20"/>
        <w:szCs w:val="22"/>
      </w:rPr>
      <w:fldChar w:fldCharType="begin" w:fldLock="1"/>
    </w:r>
    <w:r>
      <w:rPr>
        <w:rFonts w:eastAsiaTheme="minorHAnsi"/>
        <w:b/>
        <w:bCs/>
        <w:sz w:val="20"/>
        <w:szCs w:val="22"/>
      </w:rPr>
      <w:instrText xml:space="preserve"> DOCPROPERTY bjFooterBothDocProperty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B62" w:rsidRPr="00A80B62" w:rsidRDefault="00A80B62" w:rsidP="00A80B62">
    <w:pPr>
      <w:pStyle w:val="AltBilgi"/>
    </w:pPr>
    <w:r>
      <w:rPr>
        <w:rFonts w:eastAsiaTheme="minorHAnsi"/>
        <w:b/>
        <w:bCs/>
        <w:sz w:val="20"/>
        <w:szCs w:val="22"/>
      </w:rPr>
      <w:fldChar w:fldCharType="begin" w:fldLock="1"/>
    </w:r>
    <w:r>
      <w:rPr>
        <w:rFonts w:eastAsiaTheme="minorHAnsi"/>
        <w:b/>
        <w:bCs/>
        <w:sz w:val="20"/>
        <w:szCs w:val="22"/>
      </w:rPr>
      <w:instrText xml:space="preserve"> DOCPROPERTY bjFooterFirstPageDocProperty \* MERGEFORMAT </w:instrText>
    </w:r>
    <w:r>
      <w:rPr>
        <w:rFonts w:eastAsiaTheme="minorHAnsi"/>
        <w:b/>
        <w:bCs/>
        <w:sz w:val="20"/>
        <w:szCs w:val="22"/>
      </w:rPr>
      <w:fldChar w:fldCharType="separate"/>
    </w:r>
    <w:r w:rsidRPr="00570195">
      <w:rPr>
        <w:rFonts w:ascii="Malgun Gothic" w:eastAsia="Malgun Gothic" w:hAnsi="Malgun Gothic"/>
        <w:b/>
        <w:color w:val="999999"/>
        <w:sz w:val="20"/>
      </w:rPr>
      <w:t>Sınıflandırma|</w:t>
    </w:r>
    <w:r w:rsidRPr="00570195">
      <w:rPr>
        <w:rFonts w:ascii="Malgun Gothic" w:eastAsia="Malgun Gothic" w:hAnsi="Malgun Gothic"/>
        <w:b/>
        <w:color w:val="339966"/>
        <w:sz w:val="20"/>
      </w:rPr>
      <w:t>Genel</w:t>
    </w:r>
    <w:r>
      <w:rPr>
        <w:rFonts w:eastAsiaTheme="minorHAnsi"/>
        <w:b/>
        <w:bC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4CD" w:rsidRDefault="00BD14CD">
      <w:pPr>
        <w:spacing w:after="0" w:line="240" w:lineRule="auto"/>
      </w:pPr>
      <w:r>
        <w:separator/>
      </w:r>
    </w:p>
  </w:footnote>
  <w:footnote w:type="continuationSeparator" w:id="0">
    <w:p w:rsidR="00BD14CD" w:rsidRDefault="00BD1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B62" w:rsidRDefault="00A80B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B62" w:rsidRDefault="00A80B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B62" w:rsidRDefault="00A80B6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1D"/>
    <w:rsid w:val="00A80B62"/>
    <w:rsid w:val="00AB251D"/>
    <w:rsid w:val="00BD14CD"/>
    <w:rsid w:val="00C836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07850"/>
  <w15:docId w15:val="{83712C8E-0E19-4204-ADCF-A5B11826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lang w:val="tr-TR" w:eastAsia="tr-TR"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1"/>
    <w:next w:val="Normal1"/>
    <w:uiPriority w:val="9"/>
    <w:unhideWhenUsed/>
    <w:qFormat/>
    <w:pPr>
      <w:keepLines/>
      <w:spacing w:before="280" w:after="280"/>
      <w:outlineLvl w:val="1"/>
    </w:pPr>
    <w:rPr>
      <w:b/>
      <w:sz w:val="36"/>
    </w:rPr>
  </w:style>
  <w:style w:type="paragraph" w:styleId="Balk4">
    <w:name w:val="heading 4"/>
    <w:basedOn w:val="Normal"/>
    <w:next w:val="Normal"/>
    <w:uiPriority w:val="9"/>
    <w:semiHidden/>
    <w:unhideWhenUsed/>
    <w:qFormat/>
    <w:pPr>
      <w:keepLines/>
      <w:spacing w:before="280" w:after="280"/>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Normal1">
    <w:name w:val="Normal1"/>
    <w:qFormat/>
    <w:rPr>
      <w:sz w:val="24"/>
    </w:rPr>
  </w:style>
  <w:style w:type="character" w:styleId="Kpr">
    <w:name w:val="Hyperlink"/>
    <w:uiPriority w:val="99"/>
    <w:qFormat/>
    <w:rPr>
      <w:color w:val="0066CC"/>
      <w:u w:val="single" w:color="0000FF"/>
    </w:rPr>
  </w:style>
  <w:style w:type="character" w:customStyle="1" w:styleId="document-info-data">
    <w:name w:val="document-info-data"/>
  </w:style>
  <w:style w:type="character" w:customStyle="1" w:styleId="document-info-label">
    <w:name w:val="document-info-label"/>
  </w:style>
  <w:style w:type="paragraph" w:styleId="stBilgi">
    <w:name w:val="header"/>
    <w:basedOn w:val="Normal"/>
    <w:link w:val="stBilgiChar"/>
    <w:uiPriority w:val="99"/>
    <w:unhideWhenUsed/>
    <w:rsid w:val="00C836C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36C9"/>
  </w:style>
  <w:style w:type="paragraph" w:styleId="AltBilgi">
    <w:name w:val="footer"/>
    <w:basedOn w:val="Normal"/>
    <w:link w:val="AltBilgiChar"/>
    <w:uiPriority w:val="99"/>
    <w:unhideWhenUsed/>
    <w:rsid w:val="00C836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3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644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3A7143B-B032-4496-B40C-D4A4C5008C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2016/39 Sayılı Bireysel Emeklilik Sistemi Hakkında Genelge'de Değişiklik Yapılmasına İlişkin Genelge</vt:lpstr>
    </vt:vector>
  </TitlesOfParts>
  <Company>Emeklilik Gozetim Merkezi</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2016/39 Sayılı Bireysel Emeklilik Sistemi Hakkında Genelge'de Değişiklik Yapılmasına İlişkin Genelge</dc:title>
  <dc:subject>Law Document</dc:subject>
  <dc:creator>Lexpera</dc:creator>
  <cp:lastModifiedBy>Bahattin ÖZKAN</cp:lastModifiedBy>
  <cp:revision>2</cp:revision>
  <dcterms:created xsi:type="dcterms:W3CDTF">2023-08-21T14:03:00Z</dcterms:created>
  <dcterms:modified xsi:type="dcterms:W3CDTF">2023-08-21T14:03:00Z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2bb03845-58a7-4c44-9bff-7706f975e877</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