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EB7C3" w14:textId="77777777" w:rsidR="00CD2B5C" w:rsidRPr="001D7EEF" w:rsidRDefault="00CD2B5C" w:rsidP="00CD2B5C">
      <w:pPr>
        <w:widowControl w:val="0"/>
        <w:autoSpaceDE w:val="0"/>
        <w:autoSpaceDN w:val="0"/>
        <w:adjustRightInd w:val="0"/>
        <w:spacing w:after="0" w:line="240" w:lineRule="auto"/>
        <w:ind w:left="170" w:right="170"/>
        <w:rPr>
          <w:b/>
          <w:bCs/>
          <w:sz w:val="20"/>
          <w:u w:val="single"/>
        </w:rPr>
      </w:pPr>
      <w:bookmarkStart w:id="0" w:name="_Toc10203509"/>
      <w:bookmarkStart w:id="1" w:name="_Toc105418675"/>
      <w:r w:rsidRPr="001D7EEF">
        <w:rPr>
          <w:b/>
          <w:bCs/>
          <w:sz w:val="20"/>
          <w:u w:val="single"/>
        </w:rPr>
        <w:t>Resmi Gazete Dışından Kaynak</w:t>
      </w:r>
    </w:p>
    <w:p w14:paraId="234C8D62" w14:textId="77777777" w:rsidR="00CD2B5C" w:rsidRPr="00C97F16" w:rsidRDefault="00CD2B5C" w:rsidP="00CD2B5C">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C97F16">
        <w:rPr>
          <w:b/>
          <w:bCs/>
          <w:sz w:val="20"/>
        </w:rPr>
        <w:tab/>
      </w:r>
      <w:r w:rsidR="00C97F16">
        <w:rPr>
          <w:b/>
          <w:bCs/>
          <w:sz w:val="20"/>
        </w:rPr>
        <w:tab/>
      </w:r>
      <w:r w:rsidR="00C97F16">
        <w:rPr>
          <w:b/>
          <w:bCs/>
          <w:sz w:val="20"/>
        </w:rPr>
        <w:tab/>
      </w:r>
      <w:r w:rsidR="00C97F16">
        <w:rPr>
          <w:b/>
          <w:bCs/>
          <w:sz w:val="20"/>
        </w:rPr>
        <w:tab/>
      </w:r>
      <w:r w:rsidR="00C97F16">
        <w:rPr>
          <w:b/>
          <w:bCs/>
          <w:sz w:val="20"/>
        </w:rPr>
        <w:tab/>
      </w:r>
      <w:r w:rsidR="00C97F16">
        <w:rPr>
          <w:b/>
          <w:bCs/>
          <w:sz w:val="20"/>
        </w:rPr>
        <w:tab/>
      </w:r>
      <w:r w:rsidR="00C97F16">
        <w:rPr>
          <w:b/>
          <w:bCs/>
          <w:sz w:val="20"/>
        </w:rPr>
        <w:tab/>
      </w:r>
      <w:r w:rsidR="00C97F16">
        <w:rPr>
          <w:b/>
          <w:bCs/>
          <w:sz w:val="20"/>
        </w:rPr>
        <w:tab/>
      </w:r>
      <w:r w:rsidR="00C97F16">
        <w:rPr>
          <w:b/>
          <w:bCs/>
          <w:sz w:val="20"/>
          <w:u w:val="single"/>
        </w:rPr>
        <w:t>06.10.2009</w:t>
      </w:r>
      <w:bookmarkStart w:id="2" w:name="_GoBack"/>
      <w:bookmarkEnd w:id="2"/>
    </w:p>
    <w:p w14:paraId="4AD89E66" w14:textId="77777777" w:rsidR="00CD2B5C" w:rsidRPr="002627B5" w:rsidRDefault="00CD2B5C" w:rsidP="00CD2B5C">
      <w:pPr>
        <w:widowControl w:val="0"/>
        <w:autoSpaceDE w:val="0"/>
        <w:autoSpaceDN w:val="0"/>
        <w:adjustRightInd w:val="0"/>
        <w:spacing w:after="0" w:line="240" w:lineRule="auto"/>
        <w:ind w:left="170" w:right="170"/>
        <w:rPr>
          <w:rStyle w:val="Balk2Char"/>
          <w:bCs/>
          <w:sz w:val="20"/>
          <w:u w:val="single"/>
        </w:rPr>
      </w:pPr>
    </w:p>
    <w:p w14:paraId="734198ED" w14:textId="77777777" w:rsidR="00CD2B5C" w:rsidRDefault="00CD2B5C" w:rsidP="00061DC3">
      <w:pPr>
        <w:spacing w:after="0"/>
        <w:ind w:right="-108"/>
        <w:jc w:val="center"/>
        <w:rPr>
          <w:rStyle w:val="Balk2Char"/>
          <w:sz w:val="24"/>
          <w:szCs w:val="24"/>
        </w:rPr>
      </w:pPr>
      <w:r w:rsidRPr="002627B5">
        <w:rPr>
          <w:rStyle w:val="Balk2Char"/>
          <w:sz w:val="24"/>
          <w:szCs w:val="24"/>
        </w:rPr>
        <w:t>BİREYSEL EMEKLİLİK ARACILARINA İLİŞKİN GENELGE (2009/15)</w:t>
      </w:r>
      <w:bookmarkEnd w:id="0"/>
      <w:bookmarkEnd w:id="1"/>
    </w:p>
    <w:p w14:paraId="3694AF30" w14:textId="77777777" w:rsidR="00061DC3" w:rsidRDefault="00061DC3" w:rsidP="00061DC3">
      <w:pPr>
        <w:spacing w:after="0"/>
        <w:ind w:right="-108"/>
        <w:jc w:val="center"/>
        <w:rPr>
          <w:rStyle w:val="Balk2Char"/>
          <w:sz w:val="24"/>
          <w:szCs w:val="24"/>
        </w:rPr>
      </w:pPr>
    </w:p>
    <w:p w14:paraId="01119E48" w14:textId="77777777" w:rsidR="00061DC3" w:rsidRPr="002627B5" w:rsidRDefault="00061DC3" w:rsidP="00061DC3">
      <w:pPr>
        <w:spacing w:after="0"/>
        <w:ind w:right="-108"/>
        <w:jc w:val="center"/>
        <w:rPr>
          <w:rStyle w:val="Balk2Char"/>
          <w:sz w:val="24"/>
          <w:szCs w:val="24"/>
        </w:rPr>
      </w:pPr>
    </w:p>
    <w:p w14:paraId="1BF1DB78" w14:textId="77777777" w:rsidR="00CD2B5C" w:rsidRPr="00061DC3"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 xml:space="preserve">Bu Genelge, Yönetmeliğin 5 inci maddesinde yer alan sınav konu başlıklarına </w:t>
      </w:r>
      <w:r w:rsidR="00061DC3">
        <w:rPr>
          <w:rFonts w:eastAsiaTheme="minorHAnsi"/>
          <w:color w:val="000000"/>
          <w:kern w:val="16"/>
          <w:sz w:val="20"/>
          <w:lang w:eastAsia="en-US"/>
        </w:rPr>
        <w:t xml:space="preserve">ilişkin alt başlıkları ve </w:t>
      </w:r>
      <w:r w:rsidRPr="00061DC3">
        <w:rPr>
          <w:rFonts w:eastAsiaTheme="minorHAnsi"/>
          <w:color w:val="000000"/>
          <w:kern w:val="16"/>
          <w:sz w:val="20"/>
          <w:lang w:eastAsia="en-US"/>
        </w:rPr>
        <w:t xml:space="preserve">13 üncü maddesi uyarınca bireysel emeklilik aracılarına verilecek tanıtım kartı ile ilgili esas ve usulleri belirlemek amacıyla hazırlanmıştır. </w:t>
      </w:r>
    </w:p>
    <w:p w14:paraId="287D3D9F" w14:textId="77777777" w:rsidR="00CD2B5C" w:rsidRDefault="00CD2B5C" w:rsidP="00061DC3">
      <w:pPr>
        <w:widowControl w:val="0"/>
        <w:spacing w:after="0"/>
        <w:ind w:left="170" w:right="170"/>
        <w:jc w:val="both"/>
        <w:rPr>
          <w:sz w:val="20"/>
        </w:rPr>
      </w:pPr>
      <w:r w:rsidRPr="00061DC3">
        <w:rPr>
          <w:rFonts w:eastAsiaTheme="minorHAnsi"/>
          <w:color w:val="000000"/>
          <w:kern w:val="16"/>
          <w:sz w:val="20"/>
          <w:lang w:eastAsia="en-US"/>
        </w:rPr>
        <w:t>Bu Genelge ile 09/05/2008 tarihli ve 2008/16 sayılı Bireysel Emeklilik Aracılarına İlişkin Genelge yürürlükten kaldırılmıştır.</w:t>
      </w:r>
      <w:r w:rsidRPr="0054300C">
        <w:rPr>
          <w:sz w:val="20"/>
        </w:rPr>
        <w:t xml:space="preserve"> </w:t>
      </w:r>
    </w:p>
    <w:p w14:paraId="67B1D67C" w14:textId="77777777" w:rsidR="00061DC3" w:rsidRPr="0054300C" w:rsidRDefault="00061DC3" w:rsidP="00061DC3">
      <w:pPr>
        <w:widowControl w:val="0"/>
        <w:spacing w:after="0"/>
        <w:ind w:left="170" w:right="170"/>
        <w:jc w:val="both"/>
        <w:rPr>
          <w:sz w:val="20"/>
        </w:rPr>
      </w:pPr>
    </w:p>
    <w:p w14:paraId="2C7E53D0"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I) Sınav Konuları</w:t>
      </w:r>
    </w:p>
    <w:p w14:paraId="05621EFE" w14:textId="77777777" w:rsidR="00CD2B5C"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Bireysel Emeklilik Aracıları Sınavı (e-BEAS) soruları için Yönetmeliğin 5 inci maddesi ile belirlenen konuların alt başlıkları Ek-1’de belirlenmiştir.</w:t>
      </w:r>
    </w:p>
    <w:p w14:paraId="204BB43E" w14:textId="77777777" w:rsidR="00061DC3" w:rsidRPr="00061DC3" w:rsidRDefault="00061DC3" w:rsidP="00061DC3">
      <w:pPr>
        <w:widowControl w:val="0"/>
        <w:spacing w:after="0"/>
        <w:ind w:left="170" w:right="170"/>
        <w:jc w:val="both"/>
        <w:rPr>
          <w:rFonts w:eastAsiaTheme="minorHAnsi"/>
          <w:color w:val="000000"/>
          <w:kern w:val="16"/>
          <w:sz w:val="20"/>
          <w:lang w:eastAsia="en-US"/>
        </w:rPr>
      </w:pPr>
    </w:p>
    <w:p w14:paraId="134E6A52"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II) Tanıtım Kartı Kullanımı ve Geçici Satış Yetkisi</w:t>
      </w:r>
    </w:p>
    <w:p w14:paraId="42517D51" w14:textId="77777777" w:rsidR="00CD2B5C"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Yönetmeliğin 15 inci maddesinin birinci fıkrası uyarınca, bireysel emeklilik aracılarının katılımcılarla emeklilik şirketi adına yaptığı her türlü işlemde ve Müsteşarlık tarafından gerekli görülen her türlü bilgi ve belgede tanıtım kartını ve sicil numarasını kullanması ve ibraz etmesi zorunludur. Tanıtım kartı olmaksızın bireysel emeklilik aracısı olarak hiçbir işlem yapılamaz. Ancak,  e-BEAS’ta başarılı olup bir emeklilik şirketinde işe başlayan aracılar lisans tarihinden, yeni bir emeklilik şirketinde işe başlayan aracılar kart başvurusunda bulunulan tarihten itibaren 10 iş günü;   kartı yenileme sürecinde olan aracılar ise yeni kart başvurusunda bulunulan tarihten itibaren 5 iş günü süreyle lisans belgelerini tanıtım kartı yerine kullanabilir.</w:t>
      </w:r>
    </w:p>
    <w:p w14:paraId="4B4168BD" w14:textId="77777777" w:rsidR="00061DC3" w:rsidRPr="00061DC3" w:rsidRDefault="00061DC3" w:rsidP="00061DC3">
      <w:pPr>
        <w:widowControl w:val="0"/>
        <w:spacing w:after="0"/>
        <w:ind w:left="170" w:right="170"/>
        <w:jc w:val="both"/>
        <w:rPr>
          <w:rFonts w:eastAsiaTheme="minorHAnsi"/>
          <w:color w:val="000000"/>
          <w:kern w:val="16"/>
          <w:sz w:val="20"/>
          <w:lang w:eastAsia="en-US"/>
        </w:rPr>
      </w:pPr>
    </w:p>
    <w:p w14:paraId="275BEC1C"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III) Emeklilik Gözetim Merkezi Tarafından Verilecek Tanıtım Kartı Formatı</w:t>
      </w:r>
    </w:p>
    <w:p w14:paraId="0C7DB2A9" w14:textId="77777777" w:rsidR="00CD2B5C"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Emeklilik Gözetim Merkezi, bireysel emeklilik aracılarına Ek-2 ve Ek-3’te standartları belirtilen tanıtım kartını verir. Ek-2’de yer alan tanıtım kartı, bireysel emeklilik aracısı olarak çalıştıkları emeklilik şirketi tarafından tanıtım kartı başvurusunun yapılması halinde, geçerli lisansı olan bireysel emeklilik aracılarına verilir. Ek-3’te yer alan tanıtım kartı ise emeklilik şirketlerinden biri tarafından tanıtım kartı başvurusunun yapılması halinde, sigorta brokerleri nezdinde çalışan bireysel emeklilik aracılarına verilir.</w:t>
      </w:r>
    </w:p>
    <w:p w14:paraId="4D3BB19E" w14:textId="77777777" w:rsidR="00061DC3" w:rsidRPr="00061DC3" w:rsidRDefault="00061DC3" w:rsidP="00061DC3">
      <w:pPr>
        <w:widowControl w:val="0"/>
        <w:spacing w:after="0"/>
        <w:ind w:left="170" w:right="170"/>
        <w:jc w:val="both"/>
        <w:rPr>
          <w:rFonts w:eastAsiaTheme="minorHAnsi"/>
          <w:color w:val="000000"/>
          <w:kern w:val="16"/>
          <w:sz w:val="20"/>
          <w:lang w:eastAsia="en-US"/>
        </w:rPr>
      </w:pPr>
    </w:p>
    <w:p w14:paraId="0619EB65"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IV) Tanıtım Kartı Başvurusu Ekinde Gönderilecek Belgeler</w:t>
      </w:r>
    </w:p>
    <w:p w14:paraId="2B6831DF" w14:textId="77777777" w:rsidR="00CD2B5C" w:rsidRPr="00061DC3"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Yönetmeliğin 13 üncü maddesinin ikinci fıkrasında emeklilik şirketleri tarafından Emeklilik Gözetim Merkezine yapılacak tanıtım kartı başvuruları ekinde gönderilecek belgeler;</w:t>
      </w:r>
    </w:p>
    <w:p w14:paraId="574E09FB" w14:textId="77777777" w:rsidR="00CD2B5C" w:rsidRPr="00061DC3"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a) Başvuruda bulunulan tarihten en fazla altı ay önce alınmış adlî sicil belgesi,</w:t>
      </w:r>
    </w:p>
    <w:p w14:paraId="67E1D772" w14:textId="77777777" w:rsidR="00CD2B5C" w:rsidRPr="00061DC3"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b) Adına bireysel emeklilik aracılığı yapacağı emeklilik şirketinin emeklilik ürünlerine ilişkin eğitimlerini tamamladığına dair belge,</w:t>
      </w:r>
    </w:p>
    <w:p w14:paraId="5E131484" w14:textId="77777777" w:rsidR="00CD2B5C" w:rsidRPr="00061DC3"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olarak belirlenmiştir.</w:t>
      </w:r>
    </w:p>
    <w:p w14:paraId="1D06FF92" w14:textId="77777777" w:rsidR="00CD2B5C"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Sigorta brokerleri nezdinde çalışan bireysel emeklilik aracıları ise temsil ettikleri katılımcılar için teklif alacakları tüm emeklilik şirketlerinden, şirketin ürün eğitimini aldıklarına dair belgeleri almış olmaları kaydıyla istedikleri emeklilik şirketi aracılığıyla tanıtım kartı başvurusu yapabilir.</w:t>
      </w:r>
    </w:p>
    <w:p w14:paraId="308741EE" w14:textId="77777777" w:rsidR="00061DC3" w:rsidRPr="00061DC3" w:rsidRDefault="00061DC3" w:rsidP="00061DC3">
      <w:pPr>
        <w:widowControl w:val="0"/>
        <w:spacing w:after="0"/>
        <w:ind w:left="170" w:right="170"/>
        <w:jc w:val="both"/>
        <w:rPr>
          <w:rFonts w:eastAsiaTheme="minorHAnsi"/>
          <w:color w:val="000000"/>
          <w:kern w:val="16"/>
          <w:sz w:val="20"/>
          <w:lang w:eastAsia="en-US"/>
        </w:rPr>
      </w:pPr>
    </w:p>
    <w:p w14:paraId="4FF922A6"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V) Bireysel Emeklilik Aracıları Siciline ilişkin Sorgulama</w:t>
      </w:r>
    </w:p>
    <w:p w14:paraId="23B31652" w14:textId="77777777" w:rsidR="00CD2B5C" w:rsidRPr="00061DC3" w:rsidRDefault="00CD2B5C" w:rsidP="00061DC3">
      <w:pPr>
        <w:widowControl w:val="0"/>
        <w:spacing w:after="0"/>
        <w:ind w:left="170" w:right="170"/>
        <w:jc w:val="both"/>
        <w:rPr>
          <w:rFonts w:eastAsiaTheme="minorHAnsi"/>
          <w:color w:val="000000"/>
          <w:kern w:val="16"/>
          <w:sz w:val="20"/>
          <w:lang w:eastAsia="en-US"/>
        </w:rPr>
      </w:pPr>
      <w:r w:rsidRPr="00061DC3">
        <w:rPr>
          <w:rFonts w:eastAsiaTheme="minorHAnsi"/>
          <w:color w:val="000000"/>
          <w:kern w:val="16"/>
          <w:sz w:val="20"/>
          <w:lang w:eastAsia="en-US"/>
        </w:rPr>
        <w:t>Emeklilik Gözetim Merkezi, Yönetmeliğin 16 ncı maddesi kapsamında Müsteşarlığın uygun görüşü alınarak, tanıtım kartı ve lisansa ilişkin bilgilerin www.egm.org.tr internet sitesinden sorgulanabilmesine yönelik düzenlemeleri yapar.</w:t>
      </w:r>
    </w:p>
    <w:p w14:paraId="286BFD5D" w14:textId="77777777" w:rsidR="00CD2B5C" w:rsidRDefault="00CD2B5C" w:rsidP="00CD2B5C">
      <w:pPr>
        <w:autoSpaceDE w:val="0"/>
        <w:autoSpaceDN w:val="0"/>
        <w:adjustRightInd w:val="0"/>
        <w:spacing w:after="0"/>
        <w:rPr>
          <w:b/>
          <w:bCs/>
          <w:color w:val="000000"/>
          <w:sz w:val="20"/>
        </w:rPr>
      </w:pPr>
    </w:p>
    <w:p w14:paraId="51E3ADC1"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EK-1</w:t>
      </w:r>
    </w:p>
    <w:p w14:paraId="268D9E34"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 xml:space="preserve">SINAV KONULARI </w:t>
      </w:r>
    </w:p>
    <w:p w14:paraId="21FB099C"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lastRenderedPageBreak/>
        <w:t>I. TEMEL İŞLETME VE İKTİSAT</w:t>
      </w:r>
    </w:p>
    <w:p w14:paraId="36AC5B8C" w14:textId="77777777" w:rsidR="00CD2B5C" w:rsidRPr="00AB00B8" w:rsidRDefault="00CD2B5C" w:rsidP="00061DC3">
      <w:pPr>
        <w:widowControl w:val="0"/>
        <w:spacing w:after="0"/>
        <w:ind w:left="170" w:right="170"/>
        <w:jc w:val="both"/>
        <w:rPr>
          <w:b/>
          <w:bCs/>
          <w:color w:val="000000"/>
          <w:sz w:val="20"/>
        </w:rPr>
      </w:pPr>
      <w:r w:rsidRPr="00061DC3">
        <w:rPr>
          <w:rFonts w:eastAsiaTheme="minorHAnsi"/>
          <w:b/>
          <w:color w:val="000000"/>
          <w:kern w:val="16"/>
          <w:sz w:val="20"/>
          <w:lang w:eastAsia="en-US"/>
        </w:rPr>
        <w:t>A.TEMEL İŞLETME</w:t>
      </w:r>
    </w:p>
    <w:p w14:paraId="0D40D457" w14:textId="77777777" w:rsidR="00CD2B5C" w:rsidRPr="0054300C" w:rsidRDefault="00CD2B5C" w:rsidP="00CD2B5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Temel Kavramlar</w:t>
      </w:r>
    </w:p>
    <w:p w14:paraId="0B1ED637" w14:textId="77777777" w:rsidR="00CD2B5C" w:rsidRPr="0054300C" w:rsidRDefault="00CD2B5C" w:rsidP="00CD2B5C">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İşletmelerin Özellikleri</w:t>
      </w:r>
    </w:p>
    <w:p w14:paraId="390CAFD5" w14:textId="77777777" w:rsidR="00CD2B5C" w:rsidRPr="0054300C" w:rsidRDefault="00CD2B5C" w:rsidP="00CD2B5C">
      <w:pPr>
        <w:numPr>
          <w:ilvl w:val="1"/>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İşletmelerin amaçları</w:t>
      </w:r>
    </w:p>
    <w:p w14:paraId="36C24C88" w14:textId="77777777" w:rsidR="00CD2B5C" w:rsidRPr="0054300C" w:rsidRDefault="00CD2B5C" w:rsidP="00CD2B5C">
      <w:pPr>
        <w:numPr>
          <w:ilvl w:val="1"/>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İşletmelerin işlevleri</w:t>
      </w:r>
    </w:p>
    <w:p w14:paraId="56FEC230" w14:textId="77777777" w:rsidR="00CD2B5C" w:rsidRPr="0054300C" w:rsidRDefault="00CD2B5C" w:rsidP="00CD2B5C">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Temel İşletmecilik Fonksiyonları</w:t>
      </w:r>
    </w:p>
    <w:p w14:paraId="066CA1E7" w14:textId="77777777" w:rsidR="00CD2B5C" w:rsidRPr="0054300C" w:rsidRDefault="00CD2B5C" w:rsidP="00CD2B5C">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Finansman</w:t>
      </w:r>
    </w:p>
    <w:p w14:paraId="108BD511" w14:textId="77777777" w:rsidR="00CD2B5C" w:rsidRPr="0054300C" w:rsidRDefault="00CD2B5C" w:rsidP="00CD2B5C">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Pazarlama</w:t>
      </w:r>
    </w:p>
    <w:p w14:paraId="5F799EDA" w14:textId="77777777" w:rsidR="00CD2B5C" w:rsidRPr="0054300C" w:rsidRDefault="00CD2B5C" w:rsidP="00CD2B5C">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Üretim</w:t>
      </w:r>
    </w:p>
    <w:p w14:paraId="57CFFB71" w14:textId="77777777" w:rsidR="00CD2B5C" w:rsidRDefault="00CD2B5C" w:rsidP="00CD2B5C">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Yönetim</w:t>
      </w:r>
    </w:p>
    <w:p w14:paraId="60EE0D9E" w14:textId="77777777" w:rsidR="00CD2B5C" w:rsidRPr="002627B5" w:rsidRDefault="00CD2B5C" w:rsidP="00CD2B5C">
      <w:pPr>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p>
    <w:p w14:paraId="278D51FF"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B.TEMEL İKTİSAT</w:t>
      </w:r>
    </w:p>
    <w:p w14:paraId="738F772E" w14:textId="77777777" w:rsidR="00CD2B5C" w:rsidRPr="0054300C" w:rsidRDefault="00CD2B5C" w:rsidP="00CD2B5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Temel Kavramlar</w:t>
      </w:r>
    </w:p>
    <w:p w14:paraId="61DC0DDB" w14:textId="77777777" w:rsidR="00CD2B5C" w:rsidRPr="0054300C" w:rsidRDefault="00CD2B5C" w:rsidP="00CD2B5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Arz, Talep ve Piyasa Dengesi</w:t>
      </w:r>
    </w:p>
    <w:p w14:paraId="520C64FF" w14:textId="77777777" w:rsidR="00CD2B5C" w:rsidRPr="0054300C" w:rsidRDefault="00CD2B5C" w:rsidP="00CD2B5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Üretim</w:t>
      </w:r>
    </w:p>
    <w:p w14:paraId="408B6DB1" w14:textId="77777777" w:rsidR="00CD2B5C" w:rsidRPr="0054300C" w:rsidRDefault="00CD2B5C" w:rsidP="00CD2B5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Tüketim</w:t>
      </w:r>
    </w:p>
    <w:p w14:paraId="3FFBFE16" w14:textId="77777777" w:rsidR="00CD2B5C" w:rsidRPr="0054300C" w:rsidRDefault="00CD2B5C" w:rsidP="00CD2B5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Tasarruf</w:t>
      </w:r>
    </w:p>
    <w:p w14:paraId="414F6337" w14:textId="77777777" w:rsidR="00CD2B5C" w:rsidRPr="0054300C" w:rsidRDefault="00CD2B5C" w:rsidP="00CD2B5C">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Yatırım</w:t>
      </w:r>
    </w:p>
    <w:p w14:paraId="1D9E0AED" w14:textId="77777777" w:rsidR="00CD2B5C" w:rsidRPr="0054300C" w:rsidRDefault="00CD2B5C" w:rsidP="00CD2B5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Makroekonomik Göstergeler ve Yorumu</w:t>
      </w:r>
    </w:p>
    <w:p w14:paraId="5315E6AF" w14:textId="77777777" w:rsidR="00CD2B5C" w:rsidRDefault="00CD2B5C" w:rsidP="00CD2B5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Türkiye ve Dünya E</w:t>
      </w:r>
      <w:r>
        <w:rPr>
          <w:sz w:val="20"/>
        </w:rPr>
        <w:t>konomisindeki Güncel Gelişmeler</w:t>
      </w:r>
    </w:p>
    <w:p w14:paraId="0A3FB772" w14:textId="77777777" w:rsidR="00CD2B5C" w:rsidRPr="002627B5"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sz w:val="20"/>
        </w:rPr>
      </w:pPr>
    </w:p>
    <w:p w14:paraId="496D4B28"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II. SOSYAL GÜVENLİK SİSTEMİ</w:t>
      </w:r>
    </w:p>
    <w:p w14:paraId="00E926F6" w14:textId="77777777" w:rsidR="00CD2B5C" w:rsidRPr="0054300C" w:rsidRDefault="00CD2B5C" w:rsidP="00CD2B5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Güvenlik Sistemi Kavramı</w:t>
      </w:r>
    </w:p>
    <w:p w14:paraId="0B884E4A"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güvenliğin tanımı</w:t>
      </w:r>
    </w:p>
    <w:p w14:paraId="073012BA"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güvenliğin nitelikleri</w:t>
      </w:r>
    </w:p>
    <w:p w14:paraId="5A4B1E22" w14:textId="77777777" w:rsidR="00CD2B5C" w:rsidRPr="0054300C" w:rsidRDefault="00CD2B5C" w:rsidP="00CD2B5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Güvenliğin Finansmanı</w:t>
      </w:r>
    </w:p>
    <w:p w14:paraId="0ECFD529"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Primli ve primsiz sosyal güvenlik rejimleri</w:t>
      </w:r>
    </w:p>
    <w:p w14:paraId="563136BF"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Finansman kaynakları</w:t>
      </w:r>
    </w:p>
    <w:p w14:paraId="390E27B6"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Finansman yöntemleri</w:t>
      </w:r>
    </w:p>
    <w:p w14:paraId="6F16414A"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Finansman sorunları ve öneriler</w:t>
      </w:r>
    </w:p>
    <w:p w14:paraId="43D39B5C" w14:textId="77777777" w:rsidR="00CD2B5C" w:rsidRPr="0054300C" w:rsidRDefault="00CD2B5C" w:rsidP="00CD2B5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Türk Sosyal Güvenlik Sisteminin Yapısı</w:t>
      </w:r>
    </w:p>
    <w:p w14:paraId="27FBEC6B"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güvenliğin kapsamı</w:t>
      </w:r>
    </w:p>
    <w:p w14:paraId="06A9901A"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güvenlik kurumları</w:t>
      </w:r>
    </w:p>
    <w:p w14:paraId="3209F702" w14:textId="77777777" w:rsidR="00CD2B5C" w:rsidRPr="0054300C" w:rsidRDefault="00CD2B5C" w:rsidP="00CD2B5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Özel Emeklilik Sistemleri</w:t>
      </w:r>
    </w:p>
    <w:p w14:paraId="4355DF18"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Özel emeklilik sistemlerine ilişkin temel kavramlar</w:t>
      </w:r>
    </w:p>
    <w:p w14:paraId="505C6D9D"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Özel emeklilik planı türleri</w:t>
      </w:r>
    </w:p>
    <w:p w14:paraId="04E60E55"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Türkiye ve diğer ülke uygulamaları</w:t>
      </w:r>
    </w:p>
    <w:p w14:paraId="08C094BF" w14:textId="77777777" w:rsidR="00CD2B5C" w:rsidRPr="0054300C" w:rsidRDefault="00CD2B5C" w:rsidP="00CD2B5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Özel Emeklilik ve Sosyal Güvenlik Sisteminin Birlikte Değerlendirilmesi</w:t>
      </w:r>
    </w:p>
    <w:p w14:paraId="5F1709E6"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Özel emeklilik sistemi ile sosyal güvenlik sistemlerinin karşılaştırılması</w:t>
      </w:r>
    </w:p>
    <w:p w14:paraId="11E3A455"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Tamamlayıcı özel emeklilik sistemleri</w:t>
      </w:r>
    </w:p>
    <w:p w14:paraId="65241A4F" w14:textId="77777777" w:rsidR="00CD2B5C" w:rsidRPr="0054300C" w:rsidRDefault="00CD2B5C" w:rsidP="00CD2B5C">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Sosyal güvenlik sisteminin olmadığı ülkelerde özel emeklilik sistemleri</w:t>
      </w:r>
    </w:p>
    <w:p w14:paraId="351222D7" w14:textId="77777777" w:rsidR="00CD2B5C" w:rsidRPr="00AB00B8" w:rsidRDefault="00CD2B5C" w:rsidP="00CD2B5C">
      <w:pPr>
        <w:autoSpaceDE w:val="0"/>
        <w:autoSpaceDN w:val="0"/>
        <w:adjustRightInd w:val="0"/>
        <w:spacing w:after="0"/>
        <w:rPr>
          <w:b/>
          <w:bCs/>
          <w:color w:val="000000"/>
          <w:sz w:val="20"/>
        </w:rPr>
      </w:pPr>
    </w:p>
    <w:p w14:paraId="13CF594A"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III- FİNANS VE YATIRIM ARAÇLARI</w:t>
      </w:r>
    </w:p>
    <w:p w14:paraId="14A134CA"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A. FİNANS</w:t>
      </w:r>
    </w:p>
    <w:p w14:paraId="0772F91C" w14:textId="77777777" w:rsidR="00CD2B5C" w:rsidRPr="00AB00B8" w:rsidRDefault="00CD2B5C" w:rsidP="00CD2B5C">
      <w:pPr>
        <w:autoSpaceDE w:val="0"/>
        <w:autoSpaceDN w:val="0"/>
        <w:adjustRightInd w:val="0"/>
        <w:spacing w:after="0"/>
        <w:rPr>
          <w:bCs/>
          <w:color w:val="000000"/>
          <w:sz w:val="20"/>
        </w:rPr>
      </w:pPr>
      <w:r w:rsidRPr="00AB00B8">
        <w:rPr>
          <w:bCs/>
          <w:color w:val="000000"/>
          <w:sz w:val="20"/>
        </w:rPr>
        <w:t>1. Para Piyasaları</w:t>
      </w:r>
    </w:p>
    <w:p w14:paraId="60CB64D6" w14:textId="77777777" w:rsidR="00061DC3"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2. Sermaye Piyasaları</w:t>
      </w:r>
    </w:p>
    <w:p w14:paraId="75E85263"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B.FİNANSAL MATEMATİK</w:t>
      </w:r>
    </w:p>
    <w:p w14:paraId="6CAD8856"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1. Paranın Zaman Değeri</w:t>
      </w:r>
    </w:p>
    <w:p w14:paraId="58544C7E"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2. Risk Kavramı ve Türleri</w:t>
      </w:r>
    </w:p>
    <w:p w14:paraId="3507645A" w14:textId="77777777" w:rsidR="00061DC3"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3. Faiz Kavramı</w:t>
      </w:r>
    </w:p>
    <w:p w14:paraId="77A19DB8"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C. YATIRIM ARAÇLARI VE PİYASALAR</w:t>
      </w:r>
    </w:p>
    <w:p w14:paraId="0E2C918F"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D. FONLAR VE FON YÖNETİMİ</w:t>
      </w:r>
    </w:p>
    <w:p w14:paraId="5ED8DC36"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1. Menkul Kıymet Yatırım Fonları</w:t>
      </w:r>
    </w:p>
    <w:p w14:paraId="4084E579" w14:textId="77777777" w:rsidR="00CD2B5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Pr>
          <w:sz w:val="20"/>
        </w:rPr>
        <w:t>2. Emeklilik Yatırım Fonları</w:t>
      </w:r>
    </w:p>
    <w:p w14:paraId="45643556" w14:textId="77777777" w:rsidR="00061DC3" w:rsidRPr="0054300C" w:rsidRDefault="00061DC3"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p>
    <w:p w14:paraId="305F110A"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 xml:space="preserve">IV- GENEL SİGORTACILIK ve HAYAT SİGORTALARI MEVZUATI </w:t>
      </w:r>
    </w:p>
    <w:p w14:paraId="4A1D7C95"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A. GENEL SİGORTACILIK</w:t>
      </w:r>
    </w:p>
    <w:p w14:paraId="684132B3"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lastRenderedPageBreak/>
        <w:t>1. Temel Kavramlar</w:t>
      </w:r>
    </w:p>
    <w:p w14:paraId="2842DD50"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2. Sigortacılığın Genel Prensipleri</w:t>
      </w:r>
    </w:p>
    <w:p w14:paraId="28310933"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3. Sigorta Çeşitleri</w:t>
      </w:r>
    </w:p>
    <w:p w14:paraId="7C3AB9C6"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4. Reasürans</w:t>
      </w:r>
    </w:p>
    <w:p w14:paraId="73F5CF5F"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5. Sistemin İşleyişi, Gözetim ve Denetim</w:t>
      </w:r>
    </w:p>
    <w:p w14:paraId="382165D3" w14:textId="77777777" w:rsidR="00CD2B5C" w:rsidRPr="00061DC3" w:rsidRDefault="00CD2B5C" w:rsidP="00061DC3">
      <w:pPr>
        <w:widowControl w:val="0"/>
        <w:spacing w:after="0"/>
        <w:ind w:left="170" w:right="170"/>
        <w:jc w:val="both"/>
        <w:rPr>
          <w:rFonts w:eastAsiaTheme="minorHAnsi"/>
          <w:b/>
          <w:color w:val="000000"/>
          <w:kern w:val="16"/>
          <w:sz w:val="20"/>
          <w:lang w:eastAsia="en-US"/>
        </w:rPr>
      </w:pPr>
      <w:r w:rsidRPr="00061DC3">
        <w:rPr>
          <w:rFonts w:eastAsiaTheme="minorHAnsi"/>
          <w:b/>
          <w:color w:val="000000"/>
          <w:kern w:val="16"/>
          <w:sz w:val="20"/>
          <w:lang w:eastAsia="en-US"/>
        </w:rPr>
        <w:t>B. HAYAT SİGORTALARI MEVZUATI</w:t>
      </w:r>
    </w:p>
    <w:p w14:paraId="744C224C" w14:textId="77777777" w:rsidR="00CD2B5C" w:rsidRPr="0054300C" w:rsidRDefault="00CD2B5C" w:rsidP="00CD2B5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Mevzuat</w:t>
      </w:r>
    </w:p>
    <w:p w14:paraId="27CCA4DD" w14:textId="77777777" w:rsidR="00CD2B5C" w:rsidRPr="0054300C" w:rsidRDefault="00CD2B5C" w:rsidP="00CD2B5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Kanunlar</w:t>
      </w:r>
    </w:p>
    <w:p w14:paraId="70DD7172" w14:textId="77777777" w:rsidR="00CD2B5C" w:rsidRPr="0054300C" w:rsidRDefault="00CD2B5C" w:rsidP="00CD2B5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Yönetmelikler</w:t>
      </w:r>
    </w:p>
    <w:p w14:paraId="7A562755" w14:textId="77777777" w:rsidR="00CD2B5C" w:rsidRPr="0054300C" w:rsidRDefault="00CD2B5C" w:rsidP="00CD2B5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Tebliğler</w:t>
      </w:r>
    </w:p>
    <w:p w14:paraId="562FF112" w14:textId="77777777" w:rsidR="00CD2B5C" w:rsidRPr="0054300C" w:rsidRDefault="00CD2B5C" w:rsidP="00CD2B5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Genelgeler</w:t>
      </w:r>
    </w:p>
    <w:p w14:paraId="08402FDC" w14:textId="77777777" w:rsidR="00CD2B5C" w:rsidRPr="0054300C" w:rsidRDefault="00CD2B5C" w:rsidP="00CD2B5C">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Kararlar</w:t>
      </w:r>
    </w:p>
    <w:p w14:paraId="2178C91D" w14:textId="77777777" w:rsidR="00CD2B5C" w:rsidRPr="0054300C" w:rsidRDefault="00CD2B5C" w:rsidP="00CD2B5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Sistemin Temel Unsurları</w:t>
      </w:r>
    </w:p>
    <w:p w14:paraId="31C82E3C" w14:textId="77777777" w:rsidR="00CD2B5C" w:rsidRPr="0054300C" w:rsidRDefault="00CD2B5C" w:rsidP="00CD2B5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Güvenlik Mekanizmaları, Gözetim ve Denetim</w:t>
      </w:r>
    </w:p>
    <w:p w14:paraId="67A27F53" w14:textId="77777777" w:rsidR="00CD2B5C" w:rsidRPr="0054300C" w:rsidRDefault="00CD2B5C" w:rsidP="00CD2B5C">
      <w:pPr>
        <w:tabs>
          <w:tab w:val="left" w:pos="3664"/>
        </w:tabs>
        <w:spacing w:after="0"/>
        <w:rPr>
          <w:sz w:val="20"/>
        </w:rPr>
      </w:pPr>
      <w:r w:rsidRPr="0054300C">
        <w:rPr>
          <w:sz w:val="20"/>
        </w:rPr>
        <w:tab/>
      </w:r>
    </w:p>
    <w:p w14:paraId="5FFB7096"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V- TEMEL İNSAN İLİŞKİLERİ BİLGİSİ VE PAZARLAMA</w:t>
      </w:r>
    </w:p>
    <w:p w14:paraId="4C1B17BD"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A. TEMEL İNSAN İLİŞKİLERİ</w:t>
      </w:r>
    </w:p>
    <w:p w14:paraId="466A810E"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B. PAZARLAMA</w:t>
      </w:r>
    </w:p>
    <w:p w14:paraId="7EE5D64A" w14:textId="77777777" w:rsidR="00CD2B5C"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C. TEMEL SATIŞ TEKNİKLERİ</w:t>
      </w:r>
    </w:p>
    <w:p w14:paraId="525ADDC7" w14:textId="77777777" w:rsidR="00851117" w:rsidRPr="00851117" w:rsidRDefault="00851117" w:rsidP="00851117">
      <w:pPr>
        <w:widowControl w:val="0"/>
        <w:spacing w:after="0"/>
        <w:ind w:left="170" w:right="170"/>
        <w:jc w:val="both"/>
        <w:rPr>
          <w:rFonts w:eastAsiaTheme="minorHAnsi"/>
          <w:b/>
          <w:color w:val="000000"/>
          <w:kern w:val="16"/>
          <w:sz w:val="20"/>
          <w:lang w:eastAsia="en-US"/>
        </w:rPr>
      </w:pPr>
    </w:p>
    <w:p w14:paraId="02FAEFBE"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VI. BİREYSEL EMEKLİLİK SİSTEMİ MEVZUATI</w:t>
      </w:r>
    </w:p>
    <w:p w14:paraId="6FCBF455" w14:textId="77777777" w:rsidR="00CD2B5C" w:rsidRPr="0054300C" w:rsidRDefault="00CD2B5C" w:rsidP="00CD2B5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Mevzuat</w:t>
      </w:r>
    </w:p>
    <w:p w14:paraId="7E695671" w14:textId="77777777" w:rsidR="00CD2B5C" w:rsidRPr="0054300C" w:rsidRDefault="00CD2B5C" w:rsidP="00CD2B5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Kanunlar</w:t>
      </w:r>
    </w:p>
    <w:p w14:paraId="2A261DAB" w14:textId="77777777" w:rsidR="00CD2B5C" w:rsidRPr="0054300C" w:rsidRDefault="00CD2B5C" w:rsidP="00CD2B5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Yönetmelikler</w:t>
      </w:r>
    </w:p>
    <w:p w14:paraId="134D0343" w14:textId="77777777" w:rsidR="00CD2B5C" w:rsidRPr="0054300C" w:rsidRDefault="00CD2B5C" w:rsidP="00CD2B5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Tebliğler</w:t>
      </w:r>
    </w:p>
    <w:p w14:paraId="0C82E886" w14:textId="77777777" w:rsidR="00CD2B5C" w:rsidRPr="0054300C" w:rsidRDefault="00CD2B5C" w:rsidP="00CD2B5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Genelgeler</w:t>
      </w:r>
    </w:p>
    <w:p w14:paraId="151F2596" w14:textId="77777777" w:rsidR="00CD2B5C" w:rsidRPr="0054300C" w:rsidRDefault="00CD2B5C" w:rsidP="00CD2B5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Kararlar</w:t>
      </w:r>
    </w:p>
    <w:p w14:paraId="66F1BB37" w14:textId="77777777" w:rsidR="00CD2B5C" w:rsidRPr="0054300C" w:rsidRDefault="00CD2B5C" w:rsidP="00CD2B5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Sistemin Temel Unsurları</w:t>
      </w:r>
    </w:p>
    <w:p w14:paraId="62A81102" w14:textId="77777777" w:rsidR="00CD2B5C" w:rsidRPr="0054300C" w:rsidRDefault="00CD2B5C" w:rsidP="00CD2B5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sidRPr="0054300C">
        <w:rPr>
          <w:sz w:val="20"/>
        </w:rPr>
        <w:t>Güvenlik Mekanizmaları, Gözetim ve Denetim</w:t>
      </w:r>
    </w:p>
    <w:p w14:paraId="64A1665F" w14:textId="77777777" w:rsidR="00CD2B5C" w:rsidRPr="00AB00B8" w:rsidRDefault="00CD2B5C" w:rsidP="00CD2B5C">
      <w:pPr>
        <w:autoSpaceDE w:val="0"/>
        <w:autoSpaceDN w:val="0"/>
        <w:adjustRightInd w:val="0"/>
        <w:spacing w:after="0"/>
        <w:rPr>
          <w:b/>
          <w:bCs/>
          <w:color w:val="000000"/>
          <w:sz w:val="20"/>
        </w:rPr>
      </w:pPr>
    </w:p>
    <w:p w14:paraId="1EE132E4"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VII- İLGİLİ VERGİ MEVZUATI</w:t>
      </w:r>
    </w:p>
    <w:p w14:paraId="406A0947"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1. Vergi İle İlgili Genel Kavramlar</w:t>
      </w:r>
    </w:p>
    <w:p w14:paraId="3EF2C854" w14:textId="77777777" w:rsidR="00CD2B5C" w:rsidRPr="0054300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2. Bireysel Emeklilik Sistemi ve İlgili Vergi Mevzuatı</w:t>
      </w:r>
    </w:p>
    <w:p w14:paraId="02FC08B3" w14:textId="77777777" w:rsidR="00CD2B5C" w:rsidRDefault="00CD2B5C"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sidRPr="0054300C">
        <w:rPr>
          <w:sz w:val="20"/>
        </w:rPr>
        <w:t>3. Diğer Finansal Yatı</w:t>
      </w:r>
      <w:r>
        <w:rPr>
          <w:sz w:val="20"/>
        </w:rPr>
        <w:t>rım Araçlarının Vergilendirmesi</w:t>
      </w:r>
    </w:p>
    <w:p w14:paraId="19E667C3" w14:textId="77777777" w:rsidR="00851117" w:rsidRPr="002627B5" w:rsidRDefault="00851117" w:rsidP="00CD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p>
    <w:p w14:paraId="3727682D"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EK-2</w:t>
      </w:r>
    </w:p>
    <w:p w14:paraId="7DD46A00" w14:textId="77777777" w:rsidR="00CD2B5C" w:rsidRPr="00851117" w:rsidRDefault="00851117" w:rsidP="00851117">
      <w:pPr>
        <w:widowControl w:val="0"/>
        <w:spacing w:after="0"/>
        <w:ind w:right="170"/>
        <w:jc w:val="both"/>
        <w:rPr>
          <w:rFonts w:eastAsiaTheme="minorHAnsi"/>
          <w:b/>
          <w:color w:val="000000"/>
          <w:kern w:val="16"/>
          <w:sz w:val="20"/>
          <w:lang w:eastAsia="en-US"/>
        </w:rPr>
      </w:pPr>
      <w:r>
        <w:rPr>
          <w:rFonts w:eastAsiaTheme="minorHAnsi"/>
          <w:b/>
          <w:color w:val="000000"/>
          <w:kern w:val="16"/>
          <w:sz w:val="20"/>
          <w:lang w:eastAsia="en-US"/>
        </w:rPr>
        <w:t xml:space="preserve">   </w:t>
      </w:r>
      <w:r w:rsidR="00CD2B5C" w:rsidRPr="00851117">
        <w:rPr>
          <w:rFonts w:eastAsiaTheme="minorHAnsi"/>
          <w:b/>
          <w:color w:val="000000"/>
          <w:kern w:val="16"/>
          <w:sz w:val="20"/>
          <w:lang w:eastAsia="en-US"/>
        </w:rPr>
        <w:t>TANITIM KARTI</w:t>
      </w:r>
    </w:p>
    <w:p w14:paraId="58F3722B"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Ön Yüz:</w:t>
      </w:r>
    </w:p>
    <w:p w14:paraId="0E6FB251" w14:textId="77777777" w:rsidR="00CD2B5C" w:rsidRPr="0054300C" w:rsidRDefault="00CD2B5C" w:rsidP="00CD2B5C">
      <w:pPr>
        <w:autoSpaceDE w:val="0"/>
        <w:autoSpaceDN w:val="0"/>
        <w:adjustRightInd w:val="0"/>
        <w:spacing w:after="0"/>
        <w:rPr>
          <w:color w:val="000000"/>
          <w:sz w:val="20"/>
        </w:rPr>
      </w:pPr>
      <w:r w:rsidRPr="0054300C">
        <w:rPr>
          <w:color w:val="000000"/>
          <w:sz w:val="20"/>
        </w:rPr>
        <w:t xml:space="preserve">- Emeklilik şirketi logosu </w:t>
      </w:r>
    </w:p>
    <w:p w14:paraId="6E1886F8" w14:textId="77777777" w:rsidR="00CD2B5C" w:rsidRPr="0054300C" w:rsidRDefault="00CD2B5C" w:rsidP="00CD2B5C">
      <w:pPr>
        <w:autoSpaceDE w:val="0"/>
        <w:autoSpaceDN w:val="0"/>
        <w:adjustRightInd w:val="0"/>
        <w:spacing w:after="0"/>
        <w:rPr>
          <w:color w:val="000000"/>
          <w:sz w:val="20"/>
        </w:rPr>
      </w:pPr>
      <w:r w:rsidRPr="0054300C">
        <w:rPr>
          <w:color w:val="000000"/>
          <w:sz w:val="20"/>
        </w:rPr>
        <w:t>- Bireysel emeklilik aracısının fotoğrafı</w:t>
      </w:r>
    </w:p>
    <w:p w14:paraId="3DFEC51D" w14:textId="77777777" w:rsidR="00CD2B5C" w:rsidRPr="0054300C" w:rsidRDefault="00CD2B5C" w:rsidP="00CD2B5C">
      <w:pPr>
        <w:autoSpaceDE w:val="0"/>
        <w:autoSpaceDN w:val="0"/>
        <w:adjustRightInd w:val="0"/>
        <w:spacing w:after="0"/>
        <w:rPr>
          <w:color w:val="000000"/>
          <w:sz w:val="20"/>
        </w:rPr>
      </w:pPr>
      <w:r w:rsidRPr="0054300C">
        <w:rPr>
          <w:color w:val="000000"/>
          <w:sz w:val="20"/>
        </w:rPr>
        <w:t>- Bireysel emeklilik aracısının adı, soyadı, sicil numarası ve sicile kayıt tarihi</w:t>
      </w:r>
    </w:p>
    <w:p w14:paraId="71DCCE76" w14:textId="77777777" w:rsidR="00CD2B5C" w:rsidRPr="002627B5" w:rsidRDefault="00CD2B5C" w:rsidP="00CD2B5C">
      <w:pPr>
        <w:autoSpaceDE w:val="0"/>
        <w:autoSpaceDN w:val="0"/>
        <w:adjustRightInd w:val="0"/>
        <w:spacing w:after="0"/>
        <w:rPr>
          <w:color w:val="000000"/>
          <w:sz w:val="20"/>
        </w:rPr>
      </w:pPr>
      <w:r>
        <w:rPr>
          <w:color w:val="000000"/>
          <w:sz w:val="20"/>
        </w:rPr>
        <w:t>- Aracı kurum unvanı</w:t>
      </w:r>
    </w:p>
    <w:p w14:paraId="3EE97868"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Arka Yüz:</w:t>
      </w:r>
    </w:p>
    <w:p w14:paraId="1DBD0B38" w14:textId="77777777" w:rsidR="00CD2B5C" w:rsidRPr="0054300C" w:rsidRDefault="00CD2B5C" w:rsidP="00CD2B5C">
      <w:pPr>
        <w:autoSpaceDE w:val="0"/>
        <w:autoSpaceDN w:val="0"/>
        <w:adjustRightInd w:val="0"/>
        <w:spacing w:after="0"/>
        <w:rPr>
          <w:color w:val="000000"/>
          <w:sz w:val="20"/>
        </w:rPr>
      </w:pPr>
      <w:r w:rsidRPr="0054300C">
        <w:rPr>
          <w:color w:val="000000"/>
          <w:sz w:val="20"/>
        </w:rPr>
        <w:t>- Adına aracılık yapılacak emeklilik şirketinin unvanı, adresi, telefonu ve e-posta adresi</w:t>
      </w:r>
    </w:p>
    <w:p w14:paraId="78642A39" w14:textId="77777777" w:rsidR="00CD2B5C" w:rsidRPr="0054300C" w:rsidRDefault="00CD2B5C" w:rsidP="00CD2B5C">
      <w:pPr>
        <w:autoSpaceDE w:val="0"/>
        <w:autoSpaceDN w:val="0"/>
        <w:adjustRightInd w:val="0"/>
        <w:spacing w:after="0"/>
        <w:rPr>
          <w:color w:val="000000"/>
          <w:sz w:val="20"/>
        </w:rPr>
      </w:pPr>
      <w:r w:rsidRPr="0054300C">
        <w:rPr>
          <w:color w:val="000000"/>
          <w:sz w:val="20"/>
        </w:rPr>
        <w:t>- Tanıtım kartının veriliş tarihi</w:t>
      </w:r>
    </w:p>
    <w:p w14:paraId="35B4C677" w14:textId="77777777" w:rsidR="00CD2B5C" w:rsidRPr="0054300C" w:rsidRDefault="00CD2B5C" w:rsidP="00CD2B5C">
      <w:pPr>
        <w:autoSpaceDE w:val="0"/>
        <w:autoSpaceDN w:val="0"/>
        <w:adjustRightInd w:val="0"/>
        <w:spacing w:after="0"/>
        <w:rPr>
          <w:color w:val="000000"/>
          <w:sz w:val="20"/>
        </w:rPr>
      </w:pPr>
      <w:r w:rsidRPr="0054300C">
        <w:rPr>
          <w:color w:val="000000"/>
          <w:sz w:val="20"/>
        </w:rPr>
        <w:t>- Bireysel emeklilik aracısının imzası</w:t>
      </w:r>
    </w:p>
    <w:p w14:paraId="732EA383" w14:textId="77777777" w:rsidR="00CD2B5C" w:rsidRPr="0054300C" w:rsidRDefault="00CD2B5C" w:rsidP="00CD2B5C">
      <w:pPr>
        <w:spacing w:after="0"/>
        <w:rPr>
          <w:sz w:val="20"/>
        </w:rPr>
      </w:pPr>
      <w:r w:rsidRPr="0054300C">
        <w:rPr>
          <w:color w:val="000000"/>
          <w:sz w:val="20"/>
        </w:rPr>
        <w:t>-</w:t>
      </w:r>
      <w:r w:rsidRPr="0054300C">
        <w:rPr>
          <w:sz w:val="20"/>
        </w:rPr>
        <w:t xml:space="preserve"> Tanıtım kartı numarasını içeren barkod</w:t>
      </w:r>
    </w:p>
    <w:p w14:paraId="5F43C216" w14:textId="77777777" w:rsidR="00CD2B5C" w:rsidRPr="0054300C" w:rsidRDefault="00CD2B5C" w:rsidP="00CD2B5C">
      <w:pPr>
        <w:autoSpaceDE w:val="0"/>
        <w:autoSpaceDN w:val="0"/>
        <w:adjustRightInd w:val="0"/>
        <w:spacing w:after="0"/>
        <w:rPr>
          <w:color w:val="000000"/>
          <w:sz w:val="20"/>
        </w:rPr>
      </w:pPr>
      <w:r w:rsidRPr="0054300C">
        <w:rPr>
          <w:color w:val="000000"/>
          <w:sz w:val="20"/>
        </w:rPr>
        <w:t>- Emeklilik Gözetim Merkezinin hologramı, adresi ve telefonu</w:t>
      </w:r>
    </w:p>
    <w:p w14:paraId="4579BC9B" w14:textId="77777777" w:rsidR="00CD2B5C" w:rsidRPr="0054300C" w:rsidRDefault="00851117" w:rsidP="00CD2B5C">
      <w:pPr>
        <w:autoSpaceDE w:val="0"/>
        <w:autoSpaceDN w:val="0"/>
        <w:adjustRightInd w:val="0"/>
        <w:spacing w:after="0"/>
        <w:rPr>
          <w:b/>
          <w:color w:val="000000"/>
          <w:sz w:val="20"/>
        </w:rPr>
      </w:pPr>
      <w:r>
        <w:rPr>
          <w:b/>
          <w:bCs/>
          <w:color w:val="000000"/>
          <w:sz w:val="20"/>
        </w:rPr>
        <w:t xml:space="preserve">  </w:t>
      </w:r>
      <w:r w:rsidR="00CD2B5C" w:rsidRPr="00AB00B8">
        <w:rPr>
          <w:b/>
          <w:bCs/>
          <w:color w:val="000000"/>
          <w:sz w:val="20"/>
        </w:rPr>
        <w:t>Tanıtım Kartı Örneği – Gerçek Boyutları: 8,6cm*5,4cm</w:t>
      </w:r>
    </w:p>
    <w:p w14:paraId="6A454E63" w14:textId="77777777" w:rsidR="00CD2B5C" w:rsidRPr="0054300C" w:rsidRDefault="00CD2B5C" w:rsidP="00CD2B5C">
      <w:pPr>
        <w:autoSpaceDE w:val="0"/>
        <w:autoSpaceDN w:val="0"/>
        <w:adjustRightInd w:val="0"/>
        <w:spacing w:after="0"/>
        <w:rPr>
          <w:b/>
          <w:bCs/>
          <w:color w:val="000000"/>
          <w:sz w:val="20"/>
        </w:rPr>
      </w:pPr>
      <w:r>
        <w:rPr>
          <w:noProof/>
          <w:sz w:val="20"/>
        </w:rPr>
        <w:lastRenderedPageBreak/>
        <w:drawing>
          <wp:inline distT="0" distB="0" distL="0" distR="0" wp14:anchorId="4A1EBCC6" wp14:editId="183CD5F8">
            <wp:extent cx="6181725" cy="2000250"/>
            <wp:effectExtent l="19050" t="0" r="9525" b="0"/>
            <wp:docPr id="44" name="Resim 44" descr="tanıtım_karti_as_2009_barcod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nıtım_karti_as_2009_barcode_"/>
                    <pic:cNvPicPr>
                      <a:picLocks noChangeAspect="1" noChangeArrowheads="1"/>
                    </pic:cNvPicPr>
                  </pic:nvPicPr>
                  <pic:blipFill>
                    <a:blip r:embed="rId8" cstate="print"/>
                    <a:srcRect/>
                    <a:stretch>
                      <a:fillRect/>
                    </a:stretch>
                  </pic:blipFill>
                  <pic:spPr bwMode="auto">
                    <a:xfrm>
                      <a:off x="0" y="0"/>
                      <a:ext cx="6181725" cy="2000250"/>
                    </a:xfrm>
                    <a:prstGeom prst="rect">
                      <a:avLst/>
                    </a:prstGeom>
                    <a:noFill/>
                    <a:ln w="9525">
                      <a:noFill/>
                      <a:miter lim="800000"/>
                      <a:headEnd/>
                      <a:tailEnd/>
                    </a:ln>
                  </pic:spPr>
                </pic:pic>
              </a:graphicData>
            </a:graphic>
          </wp:inline>
        </w:drawing>
      </w:r>
    </w:p>
    <w:p w14:paraId="7FDD2220" w14:textId="77777777" w:rsidR="00851117" w:rsidRDefault="00851117" w:rsidP="00851117">
      <w:pPr>
        <w:widowControl w:val="0"/>
        <w:spacing w:after="0"/>
        <w:ind w:left="170" w:right="170"/>
        <w:jc w:val="both"/>
        <w:rPr>
          <w:rFonts w:eastAsiaTheme="minorHAnsi"/>
          <w:b/>
          <w:color w:val="000000"/>
          <w:kern w:val="16"/>
          <w:sz w:val="20"/>
          <w:lang w:eastAsia="en-US"/>
        </w:rPr>
      </w:pPr>
    </w:p>
    <w:p w14:paraId="6173109F"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EK-3</w:t>
      </w:r>
    </w:p>
    <w:p w14:paraId="16518C4A"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TANITIM KARTI</w:t>
      </w:r>
    </w:p>
    <w:p w14:paraId="517FB545"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Ön Yüz:</w:t>
      </w:r>
    </w:p>
    <w:p w14:paraId="2B59EF5C" w14:textId="77777777" w:rsidR="00CD2B5C" w:rsidRPr="0054300C" w:rsidRDefault="00CD2B5C" w:rsidP="00CD2B5C">
      <w:pPr>
        <w:autoSpaceDE w:val="0"/>
        <w:autoSpaceDN w:val="0"/>
        <w:adjustRightInd w:val="0"/>
        <w:spacing w:after="0"/>
        <w:rPr>
          <w:color w:val="000000"/>
          <w:sz w:val="20"/>
        </w:rPr>
      </w:pPr>
      <w:r w:rsidRPr="0054300C">
        <w:rPr>
          <w:color w:val="000000"/>
          <w:sz w:val="20"/>
        </w:rPr>
        <w:t>- Bireysel emeklilik aracısının fotoğrafı</w:t>
      </w:r>
    </w:p>
    <w:p w14:paraId="3440675A" w14:textId="77777777" w:rsidR="00CD2B5C" w:rsidRPr="0054300C" w:rsidRDefault="00CD2B5C" w:rsidP="00CD2B5C">
      <w:pPr>
        <w:autoSpaceDE w:val="0"/>
        <w:autoSpaceDN w:val="0"/>
        <w:adjustRightInd w:val="0"/>
        <w:spacing w:after="0"/>
        <w:rPr>
          <w:color w:val="000000"/>
          <w:sz w:val="20"/>
        </w:rPr>
      </w:pPr>
      <w:r w:rsidRPr="0054300C">
        <w:rPr>
          <w:color w:val="000000"/>
          <w:sz w:val="20"/>
        </w:rPr>
        <w:t>- Bireysel emeklilik aracısının adı, soyadı, sicil numarası ve sicile kayıt tarihi</w:t>
      </w:r>
    </w:p>
    <w:p w14:paraId="25C9B3C0" w14:textId="77777777" w:rsidR="00CD2B5C" w:rsidRPr="0054300C" w:rsidRDefault="00CD2B5C" w:rsidP="00CD2B5C">
      <w:pPr>
        <w:autoSpaceDE w:val="0"/>
        <w:autoSpaceDN w:val="0"/>
        <w:adjustRightInd w:val="0"/>
        <w:spacing w:after="0"/>
        <w:rPr>
          <w:sz w:val="20"/>
        </w:rPr>
      </w:pPr>
      <w:r>
        <w:rPr>
          <w:sz w:val="20"/>
        </w:rPr>
        <w:t>- Aracı kurum unvanı</w:t>
      </w:r>
    </w:p>
    <w:p w14:paraId="46018E3D" w14:textId="77777777" w:rsidR="00CD2B5C" w:rsidRPr="00851117" w:rsidRDefault="00CD2B5C" w:rsidP="00851117">
      <w:pPr>
        <w:widowControl w:val="0"/>
        <w:spacing w:after="0"/>
        <w:ind w:left="170" w:right="170"/>
        <w:jc w:val="both"/>
        <w:rPr>
          <w:rFonts w:eastAsiaTheme="minorHAnsi"/>
          <w:b/>
          <w:color w:val="000000"/>
          <w:kern w:val="16"/>
          <w:sz w:val="20"/>
          <w:lang w:eastAsia="en-US"/>
        </w:rPr>
      </w:pPr>
      <w:r w:rsidRPr="00851117">
        <w:rPr>
          <w:rFonts w:eastAsiaTheme="minorHAnsi"/>
          <w:b/>
          <w:color w:val="000000"/>
          <w:kern w:val="16"/>
          <w:sz w:val="20"/>
          <w:lang w:eastAsia="en-US"/>
        </w:rPr>
        <w:t>Arka Yüz:</w:t>
      </w:r>
    </w:p>
    <w:p w14:paraId="44BA8A8F" w14:textId="77777777" w:rsidR="00CD2B5C" w:rsidRPr="0054300C" w:rsidRDefault="00CD2B5C" w:rsidP="00CD2B5C">
      <w:pPr>
        <w:autoSpaceDE w:val="0"/>
        <w:autoSpaceDN w:val="0"/>
        <w:adjustRightInd w:val="0"/>
        <w:spacing w:after="0"/>
        <w:rPr>
          <w:color w:val="000000"/>
          <w:sz w:val="20"/>
        </w:rPr>
      </w:pPr>
      <w:r w:rsidRPr="0054300C">
        <w:rPr>
          <w:color w:val="000000"/>
          <w:sz w:val="20"/>
        </w:rPr>
        <w:t>- Adına aracılık yapılacak emeklilik şirketlerinin unvanları</w:t>
      </w:r>
    </w:p>
    <w:p w14:paraId="436265F8" w14:textId="77777777" w:rsidR="00CD2B5C" w:rsidRPr="0054300C" w:rsidRDefault="00CD2B5C" w:rsidP="00CD2B5C">
      <w:pPr>
        <w:autoSpaceDE w:val="0"/>
        <w:autoSpaceDN w:val="0"/>
        <w:adjustRightInd w:val="0"/>
        <w:spacing w:after="0"/>
        <w:rPr>
          <w:color w:val="000000"/>
          <w:sz w:val="20"/>
        </w:rPr>
      </w:pPr>
      <w:r w:rsidRPr="0054300C">
        <w:rPr>
          <w:color w:val="000000"/>
          <w:sz w:val="20"/>
        </w:rPr>
        <w:t>- Tanıtım kartının veriliş tarihi</w:t>
      </w:r>
    </w:p>
    <w:p w14:paraId="30EEA2A7" w14:textId="77777777" w:rsidR="00CD2B5C" w:rsidRPr="0054300C" w:rsidRDefault="00CD2B5C" w:rsidP="00CD2B5C">
      <w:pPr>
        <w:autoSpaceDE w:val="0"/>
        <w:autoSpaceDN w:val="0"/>
        <w:adjustRightInd w:val="0"/>
        <w:spacing w:after="0"/>
        <w:rPr>
          <w:color w:val="000000"/>
          <w:sz w:val="20"/>
        </w:rPr>
      </w:pPr>
      <w:r w:rsidRPr="0054300C">
        <w:rPr>
          <w:color w:val="000000"/>
          <w:sz w:val="20"/>
        </w:rPr>
        <w:t>- Bireysel emeklilik aracısının imzası</w:t>
      </w:r>
    </w:p>
    <w:p w14:paraId="4DE2A60D" w14:textId="77777777" w:rsidR="00CD2B5C" w:rsidRPr="0054300C" w:rsidRDefault="00CD2B5C" w:rsidP="00CD2B5C">
      <w:pPr>
        <w:spacing w:after="0"/>
        <w:rPr>
          <w:sz w:val="20"/>
        </w:rPr>
      </w:pPr>
      <w:r w:rsidRPr="0054300C">
        <w:rPr>
          <w:sz w:val="20"/>
        </w:rPr>
        <w:t>- Tanıtım kartı numarasını içeren barkod</w:t>
      </w:r>
    </w:p>
    <w:p w14:paraId="0B092235" w14:textId="77777777" w:rsidR="00CD2B5C" w:rsidRPr="0054300C" w:rsidRDefault="00CD2B5C" w:rsidP="00CD2B5C">
      <w:pPr>
        <w:autoSpaceDE w:val="0"/>
        <w:autoSpaceDN w:val="0"/>
        <w:adjustRightInd w:val="0"/>
        <w:spacing w:after="0"/>
        <w:rPr>
          <w:color w:val="000000"/>
          <w:sz w:val="20"/>
        </w:rPr>
      </w:pPr>
      <w:r w:rsidRPr="0054300C">
        <w:rPr>
          <w:color w:val="000000"/>
          <w:sz w:val="20"/>
        </w:rPr>
        <w:t>- Emeklilik Gözetim Merkezini</w:t>
      </w:r>
      <w:r>
        <w:rPr>
          <w:color w:val="000000"/>
          <w:sz w:val="20"/>
        </w:rPr>
        <w:t>n hologramı, adresi ve telefonu</w:t>
      </w:r>
    </w:p>
    <w:p w14:paraId="78720ACA" w14:textId="77777777" w:rsidR="00CD2B5C" w:rsidRPr="00AB00B8" w:rsidRDefault="00851117" w:rsidP="00CD2B5C">
      <w:pPr>
        <w:autoSpaceDE w:val="0"/>
        <w:autoSpaceDN w:val="0"/>
        <w:adjustRightInd w:val="0"/>
        <w:spacing w:after="0"/>
        <w:rPr>
          <w:b/>
          <w:bCs/>
          <w:color w:val="000000"/>
          <w:sz w:val="20"/>
        </w:rPr>
      </w:pPr>
      <w:r>
        <w:rPr>
          <w:b/>
          <w:bCs/>
          <w:color w:val="000000"/>
          <w:sz w:val="20"/>
        </w:rPr>
        <w:t xml:space="preserve">  </w:t>
      </w:r>
      <w:r w:rsidR="00CD2B5C" w:rsidRPr="00AB00B8">
        <w:rPr>
          <w:b/>
          <w:bCs/>
          <w:color w:val="000000"/>
          <w:sz w:val="20"/>
        </w:rPr>
        <w:t>Tanıtım Kartı Örneği – Gerçek Boyutları: 8,6cm*5,4cm</w:t>
      </w:r>
    </w:p>
    <w:p w14:paraId="4A14E8C9" w14:textId="77777777" w:rsidR="00CD2B5C" w:rsidRPr="0054300C" w:rsidRDefault="00CD2B5C" w:rsidP="00CD2B5C">
      <w:pPr>
        <w:autoSpaceDE w:val="0"/>
        <w:autoSpaceDN w:val="0"/>
        <w:adjustRightInd w:val="0"/>
        <w:rPr>
          <w:b/>
          <w:color w:val="000000"/>
          <w:sz w:val="20"/>
        </w:rPr>
      </w:pPr>
    </w:p>
    <w:p w14:paraId="1F33352C" w14:textId="77777777" w:rsidR="00CD2B5C" w:rsidRPr="0054300C" w:rsidRDefault="00CD2B5C" w:rsidP="00CD2B5C">
      <w:pPr>
        <w:ind w:firstLine="708"/>
        <w:rPr>
          <w:sz w:val="20"/>
        </w:rPr>
      </w:pPr>
    </w:p>
    <w:p w14:paraId="0A8B9DC6" w14:textId="77777777" w:rsidR="00CD2B5C" w:rsidRPr="0054300C" w:rsidRDefault="00CD2B5C" w:rsidP="00CD2B5C">
      <w:pPr>
        <w:ind w:firstLine="708"/>
        <w:rPr>
          <w:sz w:val="20"/>
        </w:rPr>
      </w:pPr>
    </w:p>
    <w:p w14:paraId="29305EAB" w14:textId="77777777" w:rsidR="00CD2B5C" w:rsidRDefault="00CD2B5C" w:rsidP="00CD2B5C">
      <w:pPr>
        <w:ind w:firstLine="708"/>
        <w:rPr>
          <w:sz w:val="20"/>
        </w:rPr>
      </w:pPr>
      <w:r>
        <w:rPr>
          <w:noProof/>
          <w:sz w:val="20"/>
        </w:rPr>
        <w:drawing>
          <wp:inline distT="0" distB="0" distL="0" distR="0" wp14:anchorId="70E93CFE" wp14:editId="3ED5DB6D">
            <wp:extent cx="5722008" cy="1960473"/>
            <wp:effectExtent l="0" t="0" r="0" b="1905"/>
            <wp:docPr id="45" name="Resim 45" descr="tanıtım_karti_b_2009_barcod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nıtım_karti_b_2009_barcode_"/>
                    <pic:cNvPicPr>
                      <a:picLocks noChangeAspect="1" noChangeArrowheads="1"/>
                    </pic:cNvPicPr>
                  </pic:nvPicPr>
                  <pic:blipFill>
                    <a:blip r:embed="rId9" cstate="print"/>
                    <a:srcRect/>
                    <a:stretch>
                      <a:fillRect/>
                    </a:stretch>
                  </pic:blipFill>
                  <pic:spPr bwMode="auto">
                    <a:xfrm>
                      <a:off x="0" y="0"/>
                      <a:ext cx="5769804" cy="1976849"/>
                    </a:xfrm>
                    <a:prstGeom prst="rect">
                      <a:avLst/>
                    </a:prstGeom>
                    <a:noFill/>
                    <a:ln w="9525">
                      <a:noFill/>
                      <a:miter lim="800000"/>
                      <a:headEnd/>
                      <a:tailEnd/>
                    </a:ln>
                  </pic:spPr>
                </pic:pic>
              </a:graphicData>
            </a:graphic>
          </wp:inline>
        </w:drawing>
      </w:r>
    </w:p>
    <w:p w14:paraId="3FAC8044" w14:textId="77777777" w:rsidR="00CD2B5C" w:rsidRDefault="00CD2B5C" w:rsidP="00CD2B5C">
      <w:pPr>
        <w:ind w:firstLine="708"/>
        <w:rPr>
          <w:sz w:val="20"/>
        </w:rPr>
      </w:pPr>
    </w:p>
    <w:p w14:paraId="57C188BE" w14:textId="77777777" w:rsidR="00CD2B5C" w:rsidRDefault="00CD2B5C" w:rsidP="00CD2B5C">
      <w:pPr>
        <w:ind w:firstLine="708"/>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CD2B5C" w:rsidRPr="001D7EEF" w14:paraId="5E2E05A2" w14:textId="77777777" w:rsidTr="00467BD5">
        <w:tc>
          <w:tcPr>
            <w:tcW w:w="9224" w:type="dxa"/>
            <w:gridSpan w:val="3"/>
          </w:tcPr>
          <w:p w14:paraId="36A7CB46" w14:textId="77777777" w:rsidR="00CD2B5C" w:rsidRPr="00CD2B5C" w:rsidRDefault="00CD2B5C" w:rsidP="00467BD5">
            <w:pPr>
              <w:jc w:val="center"/>
              <w:rPr>
                <w:b/>
                <w:sz w:val="20"/>
              </w:rPr>
            </w:pPr>
            <w:r w:rsidRPr="00CD2B5C">
              <w:rPr>
                <w:b/>
                <w:sz w:val="20"/>
              </w:rPr>
              <w:t>Genelge’nin</w:t>
            </w:r>
          </w:p>
        </w:tc>
      </w:tr>
      <w:tr w:rsidR="00CD2B5C" w:rsidRPr="001D7EEF" w14:paraId="328F7C1D" w14:textId="77777777" w:rsidTr="00467BD5">
        <w:tc>
          <w:tcPr>
            <w:tcW w:w="3074" w:type="dxa"/>
          </w:tcPr>
          <w:p w14:paraId="269B0373" w14:textId="77777777" w:rsidR="00CD2B5C" w:rsidRPr="00CD2B5C" w:rsidRDefault="00CD2B5C" w:rsidP="00467BD5">
            <w:pPr>
              <w:jc w:val="center"/>
              <w:rPr>
                <w:b/>
                <w:sz w:val="20"/>
              </w:rPr>
            </w:pPr>
            <w:r w:rsidRPr="00CD2B5C">
              <w:rPr>
                <w:b/>
                <w:sz w:val="20"/>
              </w:rPr>
              <w:t>Numarası</w:t>
            </w:r>
          </w:p>
        </w:tc>
        <w:tc>
          <w:tcPr>
            <w:tcW w:w="3075" w:type="dxa"/>
          </w:tcPr>
          <w:p w14:paraId="23E02653" w14:textId="77777777" w:rsidR="00CD2B5C" w:rsidRPr="00CD2B5C" w:rsidRDefault="00CD2B5C" w:rsidP="00467BD5">
            <w:pPr>
              <w:jc w:val="center"/>
              <w:rPr>
                <w:b/>
                <w:sz w:val="20"/>
              </w:rPr>
            </w:pPr>
            <w:r w:rsidRPr="00CD2B5C">
              <w:rPr>
                <w:b/>
                <w:sz w:val="20"/>
              </w:rPr>
              <w:t>Kabul Tarihi</w:t>
            </w:r>
          </w:p>
        </w:tc>
        <w:tc>
          <w:tcPr>
            <w:tcW w:w="3075" w:type="dxa"/>
          </w:tcPr>
          <w:p w14:paraId="692B05EE" w14:textId="77777777" w:rsidR="00CD2B5C" w:rsidRPr="00CD2B5C" w:rsidRDefault="00CD2B5C" w:rsidP="00467BD5">
            <w:pPr>
              <w:jc w:val="center"/>
              <w:rPr>
                <w:b/>
                <w:sz w:val="20"/>
              </w:rPr>
            </w:pPr>
            <w:r w:rsidRPr="00CD2B5C">
              <w:rPr>
                <w:b/>
                <w:sz w:val="20"/>
              </w:rPr>
              <w:t>Yürürlüğe Giriş Tarihi</w:t>
            </w:r>
          </w:p>
        </w:tc>
      </w:tr>
      <w:tr w:rsidR="00CD2B5C" w14:paraId="043EB6B4" w14:textId="77777777" w:rsidTr="00467BD5">
        <w:tc>
          <w:tcPr>
            <w:tcW w:w="3074" w:type="dxa"/>
          </w:tcPr>
          <w:p w14:paraId="459939A7" w14:textId="77777777" w:rsidR="00CD2B5C" w:rsidRPr="00CD2B5C" w:rsidRDefault="00CD2B5C" w:rsidP="00467BD5">
            <w:pPr>
              <w:jc w:val="center"/>
              <w:rPr>
                <w:sz w:val="20"/>
              </w:rPr>
            </w:pPr>
            <w:r w:rsidRPr="00CD2B5C">
              <w:rPr>
                <w:sz w:val="20"/>
              </w:rPr>
              <w:t>2009/15</w:t>
            </w:r>
          </w:p>
        </w:tc>
        <w:tc>
          <w:tcPr>
            <w:tcW w:w="3075" w:type="dxa"/>
          </w:tcPr>
          <w:p w14:paraId="2245A2B2" w14:textId="77777777" w:rsidR="00CD2B5C" w:rsidRPr="00CD2B5C" w:rsidRDefault="00CD2B5C" w:rsidP="00467BD5">
            <w:pPr>
              <w:jc w:val="center"/>
              <w:rPr>
                <w:sz w:val="20"/>
              </w:rPr>
            </w:pPr>
            <w:r w:rsidRPr="00CD2B5C">
              <w:rPr>
                <w:sz w:val="20"/>
              </w:rPr>
              <w:t>06.10.2009</w:t>
            </w:r>
          </w:p>
        </w:tc>
        <w:tc>
          <w:tcPr>
            <w:tcW w:w="3075" w:type="dxa"/>
          </w:tcPr>
          <w:p w14:paraId="647F5723" w14:textId="77777777" w:rsidR="00CD2B5C" w:rsidRPr="00CD2B5C" w:rsidRDefault="00CD2B5C" w:rsidP="00467BD5">
            <w:pPr>
              <w:jc w:val="center"/>
              <w:rPr>
                <w:sz w:val="20"/>
              </w:rPr>
            </w:pPr>
            <w:r w:rsidRPr="00CD2B5C">
              <w:rPr>
                <w:sz w:val="20"/>
              </w:rPr>
              <w:t>06.10.2009</w:t>
            </w:r>
          </w:p>
        </w:tc>
      </w:tr>
    </w:tbl>
    <w:p w14:paraId="74F3DAD3" w14:textId="77777777" w:rsidR="00343027" w:rsidRDefault="00343027" w:rsidP="00851117"/>
    <w:sectPr w:rsidR="0034302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444F2" w14:textId="77777777" w:rsidR="000B4B51" w:rsidRDefault="000B4B51" w:rsidP="00CD2B5C">
      <w:pPr>
        <w:spacing w:after="0" w:line="240" w:lineRule="auto"/>
      </w:pPr>
      <w:r>
        <w:separator/>
      </w:r>
    </w:p>
  </w:endnote>
  <w:endnote w:type="continuationSeparator" w:id="0">
    <w:p w14:paraId="6CA9E19E" w14:textId="77777777" w:rsidR="000B4B51" w:rsidRDefault="000B4B51" w:rsidP="00CD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FF05" w14:textId="74472CA0" w:rsidR="00CD2B5C" w:rsidRPr="00C97F16" w:rsidRDefault="00C97F16" w:rsidP="00C97F16">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75C" w14:textId="0F189D25" w:rsidR="00CD2B5C" w:rsidRPr="00C97F16" w:rsidRDefault="00C97F16" w:rsidP="00C97F16">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E990" w14:textId="503808EC" w:rsidR="00CD2B5C" w:rsidRPr="00C97F16" w:rsidRDefault="00C97F16" w:rsidP="00C97F16">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04A9" w14:textId="77777777" w:rsidR="000B4B51" w:rsidRDefault="000B4B51" w:rsidP="00CD2B5C">
      <w:pPr>
        <w:spacing w:after="0" w:line="240" w:lineRule="auto"/>
      </w:pPr>
      <w:r>
        <w:separator/>
      </w:r>
    </w:p>
  </w:footnote>
  <w:footnote w:type="continuationSeparator" w:id="0">
    <w:p w14:paraId="5E06F344" w14:textId="77777777" w:rsidR="000B4B51" w:rsidRDefault="000B4B51" w:rsidP="00CD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DAA9" w14:textId="77777777" w:rsidR="00CD2B5C" w:rsidRDefault="00CD2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8C77" w14:textId="77777777" w:rsidR="00CD2B5C" w:rsidRDefault="00CD2B5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BBC8" w14:textId="77777777" w:rsidR="00CD2B5C" w:rsidRDefault="00CD2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96BF1"/>
    <w:multiLevelType w:val="multilevel"/>
    <w:tmpl w:val="30128B0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7B237A"/>
    <w:multiLevelType w:val="multilevel"/>
    <w:tmpl w:val="49189F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53807E2"/>
    <w:multiLevelType w:val="multilevel"/>
    <w:tmpl w:val="49189F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AD44E10"/>
    <w:multiLevelType w:val="multilevel"/>
    <w:tmpl w:val="49189F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CA05F5"/>
    <w:multiLevelType w:val="multilevel"/>
    <w:tmpl w:val="49189F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00"/>
    <w:rsid w:val="00061DC3"/>
    <w:rsid w:val="000B4B51"/>
    <w:rsid w:val="00343027"/>
    <w:rsid w:val="00644800"/>
    <w:rsid w:val="00763B1B"/>
    <w:rsid w:val="00851117"/>
    <w:rsid w:val="008F566E"/>
    <w:rsid w:val="00C97F16"/>
    <w:rsid w:val="00CD2B5C"/>
    <w:rsid w:val="00DE4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C67A"/>
  <w15:chartTrackingRefBased/>
  <w15:docId w15:val="{28975830-A78B-4466-9B04-E4765EFC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B5C"/>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CD2B5C"/>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D2B5C"/>
    <w:rPr>
      <w:rFonts w:ascii="Arial" w:eastAsia="Times New Roman" w:hAnsi="Arial" w:cs="Arial"/>
      <w:b/>
      <w:sz w:val="36"/>
      <w:szCs w:val="20"/>
      <w:lang w:eastAsia="tr-TR"/>
    </w:rPr>
  </w:style>
  <w:style w:type="table" w:styleId="TabloKlavuzu">
    <w:name w:val="Table Grid"/>
    <w:basedOn w:val="NormalTablo"/>
    <w:uiPriority w:val="39"/>
    <w:rsid w:val="00CD2B5C"/>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CD2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2B5C"/>
    <w:rPr>
      <w:rFonts w:ascii="Arial" w:eastAsia="Times New Roman" w:hAnsi="Arial" w:cs="Arial"/>
      <w:szCs w:val="20"/>
      <w:lang w:eastAsia="tr-TR"/>
    </w:rPr>
  </w:style>
  <w:style w:type="paragraph" w:styleId="AltBilgi">
    <w:name w:val="footer"/>
    <w:basedOn w:val="Normal"/>
    <w:link w:val="AltBilgiChar"/>
    <w:uiPriority w:val="99"/>
    <w:unhideWhenUsed/>
    <w:rsid w:val="00CD2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2B5C"/>
    <w:rPr>
      <w:rFonts w:ascii="Arial" w:eastAsia="Times New Roman" w:hAnsi="Arial" w:cs="Arial"/>
      <w:szCs w:val="20"/>
      <w:lang w:eastAsia="tr-TR"/>
    </w:rPr>
  </w:style>
  <w:style w:type="character" w:customStyle="1" w:styleId="document-info-data">
    <w:name w:val="document-info-data"/>
    <w:rsid w:val="00C9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876BE83-350A-4233-8161-D6EE98E7542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976</Words>
  <Characters>5566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cp:lastPrinted>2023-08-08T12:45:00Z</cp:lastPrinted>
  <dcterms:created xsi:type="dcterms:W3CDTF">2022-12-15T08:09:00Z</dcterms:created>
  <dcterms:modified xsi:type="dcterms:W3CDTF">2023-08-08T12:45:00Z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64a621ed-371f-45e7-b58f-a19f5ffbe608</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