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C4229" w14:textId="77777777" w:rsidR="00F11145" w:rsidRPr="00F11145" w:rsidRDefault="00F11145" w:rsidP="00F11145">
      <w:pPr>
        <w:widowControl w:val="0"/>
        <w:ind w:right="170"/>
        <w:rPr>
          <w:rFonts w:ascii="Arial" w:hAnsi="Arial" w:cs="Arial"/>
          <w:b/>
          <w:bCs/>
          <w:sz w:val="20"/>
          <w:szCs w:val="20"/>
        </w:rPr>
      </w:pPr>
    </w:p>
    <w:p w14:paraId="2940B762" w14:textId="77777777" w:rsidR="00F11145" w:rsidRDefault="00F11145" w:rsidP="00F11145">
      <w:pPr>
        <w:pStyle w:val="Balk2"/>
      </w:pPr>
      <w:bookmarkStart w:id="0" w:name="_Toc108080572"/>
      <w:bookmarkStart w:id="1" w:name="_Toc10203293"/>
      <w:bookmarkStart w:id="2" w:name="_Toc111632833"/>
      <w:bookmarkStart w:id="3" w:name="_Toc111632067"/>
      <w:bookmarkStart w:id="4" w:name="_Toc111630468"/>
      <w:bookmarkStart w:id="5" w:name="_Toc111630334"/>
      <w:bookmarkStart w:id="6" w:name="_Hlk134196502"/>
      <w:bookmarkStart w:id="7" w:name="e1"/>
      <w:r w:rsidRPr="00F11145">
        <w:t>BAZI VERGİ KANUNLARINDA DEĞİŞİKLİK YAPILMASINA DAİR KANUN</w:t>
      </w:r>
      <w:bookmarkEnd w:id="0"/>
      <w:bookmarkEnd w:id="1"/>
      <w:bookmarkEnd w:id="2"/>
      <w:bookmarkEnd w:id="3"/>
      <w:bookmarkEnd w:id="4"/>
      <w:bookmarkEnd w:id="5"/>
      <w:r w:rsidRPr="00F11145">
        <w:t xml:space="preserve"> </w:t>
      </w:r>
      <w:bookmarkEnd w:id="6"/>
    </w:p>
    <w:p w14:paraId="6622F536" w14:textId="70A47BC4" w:rsidR="00F11145" w:rsidRDefault="00F11145" w:rsidP="00F11145">
      <w:pPr>
        <w:pStyle w:val="Balk2"/>
      </w:pPr>
      <w:r>
        <w:t>(İ</w:t>
      </w:r>
      <w:r w:rsidRPr="00F11145">
        <w:t>lgili M</w:t>
      </w:r>
      <w:r>
        <w:t>addeler)</w:t>
      </w:r>
    </w:p>
    <w:p w14:paraId="712CF920" w14:textId="77777777" w:rsidR="00F11145" w:rsidRPr="00F11145" w:rsidRDefault="00F11145" w:rsidP="00F11145">
      <w:pPr>
        <w:rPr>
          <w:lang w:eastAsia="tr-TR"/>
        </w:rPr>
      </w:pPr>
    </w:p>
    <w:p w14:paraId="46E22B79" w14:textId="6120D3E9" w:rsidR="00F11145" w:rsidRPr="006A6CC2" w:rsidRDefault="00F11145" w:rsidP="00F11145">
      <w:pPr>
        <w:tabs>
          <w:tab w:val="left" w:pos="566"/>
          <w:tab w:val="right" w:pos="7671"/>
        </w:tabs>
        <w:spacing w:line="240" w:lineRule="exact"/>
        <w:rPr>
          <w:rFonts w:ascii="Arial" w:eastAsia="ヒラギノ明朝 Pro W3" w:hAnsi="Arial" w:cs="Arial"/>
          <w:b/>
          <w:noProof w:val="0"/>
          <w:color w:val="000000"/>
          <w:kern w:val="0"/>
          <w:position w:val="0"/>
          <w:sz w:val="20"/>
          <w:szCs w:val="20"/>
          <w:u w:val="single"/>
        </w:rPr>
      </w:pP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Kanun No</w:t>
      </w:r>
      <w:r>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 xml:space="preserve"> </w:t>
      </w:r>
      <w:r>
        <w:rPr>
          <w:rFonts w:ascii="Arial" w:eastAsia="ヒラギノ明朝 Pro W3" w:hAnsi="Arial" w:cs="Arial"/>
          <w:b/>
          <w:noProof w:val="0"/>
          <w:color w:val="000000"/>
          <w:kern w:val="0"/>
          <w:position w:val="0"/>
          <w:sz w:val="20"/>
          <w:szCs w:val="20"/>
          <w:u w:val="single"/>
        </w:rPr>
        <w:t>4697</w:t>
      </w:r>
      <w:r w:rsidRPr="006A6CC2">
        <w:rPr>
          <w:rFonts w:ascii="Arial" w:eastAsia="ヒラギノ明朝 Pro W3" w:hAnsi="Arial" w:cs="Arial"/>
          <w:b/>
          <w:noProof w:val="0"/>
          <w:color w:val="000000"/>
          <w:kern w:val="0"/>
          <w:position w:val="0"/>
          <w:sz w:val="20"/>
          <w:szCs w:val="20"/>
        </w:rPr>
        <w:tab/>
      </w:r>
      <w:r w:rsidRPr="006A6CC2">
        <w:rPr>
          <w:rFonts w:ascii="Arial" w:eastAsia="ヒラギノ明朝 Pro W3" w:hAnsi="Arial" w:cs="Arial"/>
          <w:b/>
          <w:noProof w:val="0"/>
          <w:color w:val="000000"/>
          <w:kern w:val="0"/>
          <w:position w:val="0"/>
          <w:sz w:val="20"/>
          <w:szCs w:val="20"/>
          <w:u w:val="single"/>
        </w:rPr>
        <w:t>Kabul Tarihi: 13</w:t>
      </w:r>
      <w:r w:rsidR="005B234D">
        <w:rPr>
          <w:rFonts w:ascii="Arial" w:eastAsia="ヒラギノ明朝 Pro W3" w:hAnsi="Arial" w:cs="Arial"/>
          <w:b/>
          <w:noProof w:val="0"/>
          <w:color w:val="000000"/>
          <w:kern w:val="0"/>
          <w:position w:val="0"/>
          <w:sz w:val="20"/>
          <w:szCs w:val="20"/>
          <w:u w:val="single"/>
        </w:rPr>
        <w:t>.</w:t>
      </w:r>
      <w:bookmarkStart w:id="8" w:name="_GoBack"/>
      <w:bookmarkEnd w:id="8"/>
      <w:r w:rsidRPr="006A6CC2">
        <w:rPr>
          <w:rFonts w:ascii="Arial" w:eastAsia="ヒラギノ明朝 Pro W3" w:hAnsi="Arial" w:cs="Arial"/>
          <w:b/>
          <w:noProof w:val="0"/>
          <w:color w:val="000000"/>
          <w:kern w:val="0"/>
          <w:position w:val="0"/>
          <w:sz w:val="20"/>
          <w:szCs w:val="20"/>
          <w:u w:val="single"/>
        </w:rPr>
        <w:t>6</w:t>
      </w:r>
      <w:r w:rsidR="005B234D">
        <w:rPr>
          <w:rFonts w:ascii="Arial" w:eastAsia="ヒラギノ明朝 Pro W3" w:hAnsi="Arial" w:cs="Arial"/>
          <w:b/>
          <w:noProof w:val="0"/>
          <w:color w:val="000000"/>
          <w:kern w:val="0"/>
          <w:position w:val="0"/>
          <w:sz w:val="20"/>
          <w:szCs w:val="20"/>
          <w:u w:val="single"/>
        </w:rPr>
        <w:t>.</w:t>
      </w:r>
      <w:r w:rsidRPr="006A6CC2">
        <w:rPr>
          <w:rFonts w:ascii="Arial" w:eastAsia="ヒラギノ明朝 Pro W3" w:hAnsi="Arial" w:cs="Arial"/>
          <w:b/>
          <w:noProof w:val="0"/>
          <w:color w:val="000000"/>
          <w:kern w:val="0"/>
          <w:position w:val="0"/>
          <w:sz w:val="20"/>
          <w:szCs w:val="20"/>
          <w:u w:val="single"/>
        </w:rPr>
        <w:t>20</w:t>
      </w:r>
      <w:r>
        <w:rPr>
          <w:rFonts w:ascii="Arial" w:eastAsia="ヒラギノ明朝 Pro W3" w:hAnsi="Arial" w:cs="Arial"/>
          <w:b/>
          <w:noProof w:val="0"/>
          <w:color w:val="000000"/>
          <w:kern w:val="0"/>
          <w:position w:val="0"/>
          <w:sz w:val="20"/>
          <w:szCs w:val="20"/>
          <w:u w:val="single"/>
        </w:rPr>
        <w:t>01</w:t>
      </w:r>
    </w:p>
    <w:p w14:paraId="5ED322B4" w14:textId="436ABB69" w:rsidR="00F11145" w:rsidRPr="00F11145" w:rsidRDefault="00F11145" w:rsidP="00F11145">
      <w:pPr>
        <w:ind w:firstLine="170"/>
        <w:rPr>
          <w:lang w:eastAsia="tr-TR"/>
        </w:rPr>
      </w:pP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Tarihi: 10.07.2001</w:t>
      </w:r>
      <w:r>
        <w:rPr>
          <w:rFonts w:ascii="Arial" w:eastAsia="ヒラギノ明朝 Pro W3" w:hAnsi="Arial" w:cs="Arial"/>
          <w:b/>
          <w:noProof w:val="0"/>
          <w:color w:val="000000"/>
          <w:kern w:val="0"/>
          <w:position w:val="0"/>
          <w:sz w:val="20"/>
          <w:szCs w:val="20"/>
        </w:rPr>
        <w:t xml:space="preserve">                                  </w:t>
      </w:r>
      <w:r>
        <w:rPr>
          <w:rFonts w:ascii="Arial" w:eastAsia="ヒラギノ明朝 Pro W3" w:hAnsi="Arial" w:cs="Arial"/>
          <w:b/>
          <w:noProof w:val="0"/>
          <w:color w:val="000000"/>
          <w:kern w:val="0"/>
          <w:position w:val="0"/>
          <w:sz w:val="20"/>
          <w:szCs w:val="20"/>
          <w:u w:val="single"/>
        </w:rPr>
        <w:t>Resmi Gazete No: 24458</w:t>
      </w:r>
    </w:p>
    <w:bookmarkEnd w:id="7"/>
    <w:p w14:paraId="6625FC0C" w14:textId="77777777" w:rsidR="00F11145" w:rsidRPr="00F11145" w:rsidRDefault="00F11145" w:rsidP="00F11145">
      <w:pPr>
        <w:widowControl w:val="0"/>
        <w:ind w:left="170" w:right="170"/>
        <w:rPr>
          <w:rFonts w:ascii="Arial" w:hAnsi="Arial" w:cs="Arial"/>
          <w:b/>
          <w:bCs/>
          <w:sz w:val="20"/>
          <w:szCs w:val="20"/>
        </w:rPr>
      </w:pPr>
    </w:p>
    <w:p w14:paraId="5A43339F"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1. —</w:t>
      </w:r>
      <w:r w:rsidRPr="00F11145">
        <w:rPr>
          <w:rFonts w:ascii="Arial" w:eastAsiaTheme="minorHAnsi" w:hAnsi="Arial" w:cs="Arial"/>
          <w:noProof w:val="0"/>
          <w:color w:val="000000"/>
          <w:kern w:val="0"/>
          <w:position w:val="0"/>
          <w:sz w:val="20"/>
          <w:szCs w:val="20"/>
          <w:lang w:eastAsia="tr-TR"/>
        </w:rPr>
        <w:t xml:space="preserve"> 31.12.1960 tarihli ve 193 sayılı Gelir Vergisi Kanununun değişik 21 inci maddesinden sonra gelmek üzere aşağıdaki mükerrer 21 inci madde eklenmiştir. </w:t>
      </w:r>
    </w:p>
    <w:p w14:paraId="5F203DBE"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MÜKERRER MADDE 21.—</w:t>
      </w:r>
      <w:r w:rsidRPr="00F11145">
        <w:rPr>
          <w:rFonts w:ascii="Arial" w:eastAsiaTheme="minorHAnsi" w:hAnsi="Arial" w:cs="Arial"/>
          <w:noProof w:val="0"/>
          <w:color w:val="000000"/>
          <w:kern w:val="0"/>
          <w:position w:val="0"/>
          <w:sz w:val="20"/>
          <w:szCs w:val="20"/>
          <w:lang w:eastAsia="tr-TR"/>
        </w:rPr>
        <w:t xml:space="preserve"> Bireysel emeklilik sisteminden emeklilik hakkı kazananlar ile bu sistemden vefat, malûliyet veya tasfiye gibi zorunlu nedenlerle ayrılanlara yapılan ödemelerin % 25'i, Türkiye'de kâin ve merkezi Türkiye'de bulunan diğer sigorta şirketlerinden on yıl süreyle prim ödeyenler ile vefat, malûliyet veya tasfiye gibi zorunlu nedenlerle ayrılanlara yapılan ödemelerin % 10'u ve tek primli yıllık gelir sigortalarından yapılan ödemeler gelir vergisinden müstesnadır. </w:t>
      </w:r>
    </w:p>
    <w:p w14:paraId="72ED79D6"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İstisna edilen tutar üzerinden 94 üncü maddenin birinci fıkrasının (15) numaralı bendine göre tevkifat yapılmaz. </w:t>
      </w:r>
    </w:p>
    <w:p w14:paraId="7F0CB6E6"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1B680274" w14:textId="44A813CF"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2. —</w:t>
      </w:r>
      <w:r w:rsidRPr="00F11145">
        <w:rPr>
          <w:rFonts w:ascii="Arial" w:eastAsiaTheme="minorHAnsi" w:hAnsi="Arial" w:cs="Arial"/>
          <w:noProof w:val="0"/>
          <w:color w:val="000000"/>
          <w:kern w:val="0"/>
          <w:position w:val="0"/>
          <w:sz w:val="20"/>
          <w:szCs w:val="20"/>
          <w:lang w:eastAsia="tr-TR"/>
        </w:rPr>
        <w:t xml:space="preserve"> 193 sayılı Gelir Vergisi Kanununun değişik 23 üncü maddesinin (11) numaralı bendi aşağıdaki şekilde değiştirilmiştir. </w:t>
      </w:r>
    </w:p>
    <w:p w14:paraId="0032CB6D"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11. Kanunla kurulan emekli sandıkları ile 506 sayılı Sosyal Sigortalar Kanununun geçici 20 nci maddesinde belirtilen sandıklar tarafından ödenen emekli, malûliyet, dul ve yetim aylıkları (506 sayılı Sosyal Sigortalar Kanununun geçici 20 nci maddesinde belirtilen sandıklar tarafından ödenen aylıkların toplamı, en yüksek Devlet memuruna ödenen en yüksek ödeme tutarından fazla ise aradaki fark ücret olarak vergiye tabi tutulur.) (Genel, katma ve özel bütçelerden ödenen bu nevi aylıklar dahil); </w:t>
      </w:r>
    </w:p>
    <w:p w14:paraId="74F7DECF"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37B2B950" w14:textId="25D1996E"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3. —</w:t>
      </w:r>
      <w:r w:rsidRPr="00F11145">
        <w:rPr>
          <w:rFonts w:ascii="Arial" w:eastAsiaTheme="minorHAnsi" w:hAnsi="Arial" w:cs="Arial"/>
          <w:noProof w:val="0"/>
          <w:color w:val="000000"/>
          <w:kern w:val="0"/>
          <w:position w:val="0"/>
          <w:sz w:val="20"/>
          <w:szCs w:val="20"/>
          <w:lang w:eastAsia="tr-TR"/>
        </w:rPr>
        <w:t xml:space="preserve"> 193 sayılı Kanunun 25 inci maddesinin değişik (3) numaralı bendi aşağıdaki şekilde değiştirilmiştir. </w:t>
      </w:r>
    </w:p>
    <w:p w14:paraId="5E7C0C0D"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3. Kanunla kurulan emekli sandıkları ile 506 sayılı Sosyal Sigortalar Kanununun geçici 20 nci maddesinde belirtilen sandıklar tarafından, kendilerine zat aylığı bağlananlara aylıkları dışında, kanunları veya statüleri gereğince verilen emekli, dul, yetim ve evlilik ikramiyeleri veya iade olunan mevduatı ve sürelerini doldurmamış bulunanlarla dul ve yetimlerine toptan ödenen tazminatlar (506 sayılı Sosyal Sigortalar Kanununun geçici 20 nci maddesinde belirtilen sandıklar tarafından ödenen tazminat, yardım ve toptan ödemeler en yüksek Devlet memuruna ödenen en yüksek ödeme tutarından fazla ise aradaki fark ücret olarak vergiye tâbi tutulur. Bu mukayesede gerek muhtelif sandıklardan gerek aynı sandıktan muhtelif zamanlarda yapılan ikramiye, tazminat ve toptan ödemeler topluca dikkate alınır.); </w:t>
      </w:r>
    </w:p>
    <w:p w14:paraId="78C61279" w14:textId="77777777" w:rsidR="00F11145" w:rsidRPr="00F11145" w:rsidRDefault="00F11145" w:rsidP="00F11145">
      <w:pPr>
        <w:spacing w:line="276" w:lineRule="auto"/>
        <w:ind w:left="170"/>
        <w:rPr>
          <w:rFonts w:ascii="Arial" w:eastAsiaTheme="minorHAnsi" w:hAnsi="Arial" w:cs="Arial"/>
          <w:b/>
          <w:noProof w:val="0"/>
          <w:color w:val="000000"/>
          <w:kern w:val="0"/>
          <w:position w:val="0"/>
          <w:sz w:val="20"/>
          <w:szCs w:val="20"/>
          <w:lang w:eastAsia="tr-TR"/>
        </w:rPr>
      </w:pPr>
    </w:p>
    <w:p w14:paraId="57E73CB7" w14:textId="642BA0D6"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4. —</w:t>
      </w:r>
      <w:r w:rsidRPr="00F11145">
        <w:rPr>
          <w:rFonts w:ascii="Arial" w:eastAsiaTheme="minorHAnsi" w:hAnsi="Arial" w:cs="Arial"/>
          <w:noProof w:val="0"/>
          <w:color w:val="000000"/>
          <w:kern w:val="0"/>
          <w:position w:val="0"/>
          <w:sz w:val="20"/>
          <w:szCs w:val="20"/>
          <w:lang w:eastAsia="tr-TR"/>
        </w:rPr>
        <w:t xml:space="preserve"> 193 sayılı Kanunun 40 ıncı maddesinin birinci fıkrasına aşağıdaki (9) numaralı bent eklenmiş, 63 üncü maddesinin (2) ve değişik (3) numaralı bentleri aşağıdaki şekilde değiştirilmiştir. </w:t>
      </w:r>
    </w:p>
    <w:p w14:paraId="5D112B32"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9. İşverenler tarafından ücretliler adına bireysel emeklilik sistemine ödenen katkı payları. (Gerek işverenler gerekse ücretliler tarafından bireysel emeklilik sistemine ödenen ve vergi matrahının tespitinde dikkate alınan katkı paylarının toplamı bu Kanunun 63 üncü maddesinin birinci fıkrasının (3) numaralı bendinde belirlenen oran ve haddi aşamaz.) </w:t>
      </w:r>
    </w:p>
    <w:p w14:paraId="76B2FA86"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2. Kanunla kurulan emekli sandıkları ile 506 sayılı Sosyal Sigortalar Kanununun geçici 20 nci maddesinde belirtilen sandıklara ödenen aidat ve primler; </w:t>
      </w:r>
    </w:p>
    <w:p w14:paraId="4B41CCF5"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3.  Sigortanın veya emeklilik sözleşmesinin Türkiye’de kâin ve merkezi Türkiye’de bulunan bir sigorta veya emeklilik şirketi nezdinde akdedilmiş olması şartıyla; ücretlinin şahsına, eşine ve küçük çocuklarına ait hayat, ölüm, kaza, hastalık, sakatlık, işsizlik, analık, doğum ve tahsil gibi şahıs sigorta poliçeleri için hizmet erbabı tarafından ödenen primler ile  bireysel emeklilik sistemine ödenen katkı payları, </w:t>
      </w:r>
    </w:p>
    <w:p w14:paraId="3660AA99"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lastRenderedPageBreak/>
        <w:t xml:space="preserve">İndirim konusu yapılacak prim, aidat ve katkıların toplamı, ödendiği ayda elde edilen ücretin % 10’unu  (bireysel emeklilik sistemi dışındaki şahıs sigorta poliçeleri için ödenen primlerde, ödendiği ayda elde edilen ücretin % 5’ini) ve yıllık olarak asgari ücretin yıllık tutarını aşamaz. Bakanlar Kurulu bu oranı % 20 oranına kadar (bireysel emeklilik sistemi dışındaki şahıs sigorta poliçeleri için % 10 oranına kadar) artırmaya ve belirtilen haddi asgari ücretin yıllık tutarının iki katını geçmemek üzere yeniden belirlemeye yetkilidir. </w:t>
      </w:r>
    </w:p>
    <w:p w14:paraId="0E59B3F5"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357D7005" w14:textId="61BF98E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5. —</w:t>
      </w:r>
      <w:r w:rsidRPr="00F11145">
        <w:rPr>
          <w:rFonts w:ascii="Arial" w:eastAsiaTheme="minorHAnsi" w:hAnsi="Arial" w:cs="Arial"/>
          <w:noProof w:val="0"/>
          <w:color w:val="000000"/>
          <w:kern w:val="0"/>
          <w:position w:val="0"/>
          <w:sz w:val="20"/>
          <w:szCs w:val="20"/>
          <w:lang w:eastAsia="tr-TR"/>
        </w:rPr>
        <w:t xml:space="preserve"> 193 sayılı Kanunun değişik 75 inci maddesinin ikinci fıkrasına aşağıdaki (15) numaralı bent eklenmiştir. </w:t>
      </w:r>
    </w:p>
    <w:p w14:paraId="283F51C0"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15. Tüzel kişiliği haiz emekli sandıkları, yardım sandıkları ile emeklilik ve sigorta şirketleri tarafından; </w:t>
      </w:r>
    </w:p>
    <w:p w14:paraId="202FF5BD"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a) On yıl süreyle prim, aidat veya katkı payı ödemeden ayrılanlara yapılan ödemeler, </w:t>
      </w:r>
    </w:p>
    <w:p w14:paraId="6AF315F8"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 On yıl süreyle katkı payı ödemiş olmakla birlikte bireysel emeklilik sisteminden emeklilik hakkı kazanmadan ayrılanlar ile diğer sandık ve sigortalardan on yıl süreyle prim veya aidat ödeyenlere ve vefat, malûliyet veya tasfiye gibi zorunlu nedenlerle ayrılanlara yapılan ödemeler, </w:t>
      </w:r>
    </w:p>
    <w:p w14:paraId="0A9EC1C9"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c) Bireysel emeklilik sisteminden emeklilik hakkı kazananlar ile bu sistemden vefat, malûliyet veya tasfiye gibi zorunlu nedenlerle ayrılanlara yapılan ödemeler. </w:t>
      </w:r>
    </w:p>
    <w:p w14:paraId="077CE4B6"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5D5EBF6E"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6. —</w:t>
      </w:r>
      <w:r w:rsidRPr="00F11145">
        <w:rPr>
          <w:rFonts w:ascii="Arial" w:eastAsiaTheme="minorHAnsi" w:hAnsi="Arial" w:cs="Arial"/>
          <w:noProof w:val="0"/>
          <w:color w:val="000000"/>
          <w:kern w:val="0"/>
          <w:position w:val="0"/>
          <w:sz w:val="20"/>
          <w:szCs w:val="20"/>
          <w:lang w:eastAsia="tr-TR"/>
        </w:rPr>
        <w:t xml:space="preserve"> 193 sayılı Kanunun 86 ncı maddesinin birinci fıkrasının (1) numaralı bendinin (c) alt bendi aşağıdaki şekilde değiştirilmiştir. </w:t>
      </w:r>
    </w:p>
    <w:p w14:paraId="16E2CA56"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c) 75 inci maddenin ikinci fıkrasının (15) numaralı bendinde yer alan menkul sermaye iratları ile tevkif yoluyla vergilendirilmiş bulunan ve gayrisafi tutarları toplamı 103 üncü maddede yazılı tarifenin birinci ve ikinci gelir dilimleri toplamının yarısını aşmayan menkul sermaye iratlarından ve vergi alacağı dahil kurumlardan elde edilen kâr paylarından; </w:t>
      </w:r>
    </w:p>
    <w:p w14:paraId="5C26F012"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157903E3" w14:textId="22596FE9"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7. —</w:t>
      </w:r>
      <w:r w:rsidRPr="00F11145">
        <w:rPr>
          <w:rFonts w:ascii="Arial" w:eastAsiaTheme="minorHAnsi" w:hAnsi="Arial" w:cs="Arial"/>
          <w:noProof w:val="0"/>
          <w:color w:val="000000"/>
          <w:kern w:val="0"/>
          <w:position w:val="0"/>
          <w:sz w:val="20"/>
          <w:szCs w:val="20"/>
          <w:lang w:eastAsia="tr-TR"/>
        </w:rPr>
        <w:t xml:space="preserve"> 193 sayılı Kanunun 89 uncu maddesinin değişik (1) numaralı bendi aşağıdaki şekilde değiştirilmiştir. </w:t>
      </w:r>
    </w:p>
    <w:p w14:paraId="5E96C93F"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1. Beyan edilen gelirin % 10’unu (bireysel emeklilik sistemi dışındaki şahıs sigorta primleri için, beyan edilen gelirin % 5’ini) ve asgarî ücretin yıllık tutarını aşmamak şartıyla, mükellefin şahsına, eşine ve küçük çocuklarına ait hayat, ölüm, kaza, hastalık, sakatlık, analık, doğum ve tahsil gibi şahıs sigorta primleri ile bireysel emeklilik sistemine ödenen katkı payları (Sigortanın veya emeklilik sözleşmesinin Türkiye'de kâin ve merkezi Türkiye'de bulunan bir sigorta veya emeklilik şirketi nezdinde akdedilmiş olması, prim ve katkı tutarlarının gelirin elde edildiği yılda ödenmiş olması ve ücret geliri elde edenlerin ücretlerinin safi tutarının hesaplanması sırasında ayrıca indirilmemiş bulunması şartıyla; eşlerin veya çocukların ayrı beyanname vermeleri halinde, bunlara ait prim ve katkı payları kendi gelirlerinden indirilir.), </w:t>
      </w:r>
    </w:p>
    <w:p w14:paraId="59B34F0D"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Bakanlar Kurulu bu bentte yer alan % 10 oranını % 20 oranına kadar (bireysel emeklilik sistemi dışındaki şahıs sigorta poliçeleri için % 10 oranına kadar) artırmaya ve belirtilen haddi asgarî ücretin yıllık tutarının iki katını geçmemek üzere yeniden belirlemeye yetkilidir. </w:t>
      </w:r>
    </w:p>
    <w:p w14:paraId="69B2F6BE"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4EEC8568" w14:textId="5CD4C5BE"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8. —</w:t>
      </w:r>
      <w:r w:rsidRPr="00F11145">
        <w:rPr>
          <w:rFonts w:ascii="Arial" w:eastAsiaTheme="minorHAnsi" w:hAnsi="Arial" w:cs="Arial"/>
          <w:noProof w:val="0"/>
          <w:color w:val="000000"/>
          <w:kern w:val="0"/>
          <w:position w:val="0"/>
          <w:sz w:val="20"/>
          <w:szCs w:val="20"/>
          <w:lang w:eastAsia="tr-TR"/>
        </w:rPr>
        <w:t xml:space="preserve"> 193 sayılı Gelir Vergisi Kanununun 94 üncü maddesinin birinci fıkrasının (11) numaralı bendine aşağıdaki (d) alt bendi ve fıkraya aşağıdaki (15) numaralı bent eklenmiştir.</w:t>
      </w:r>
    </w:p>
    <w:p w14:paraId="62C6BEE5"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d) Çiftçilere yapılan doğrudan gelir desteği ve alternatif ürün ödemeleri için, </w:t>
      </w:r>
    </w:p>
    <w:p w14:paraId="7D964868"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15. a) 75 inci maddenin ikinci fıkrasının (15) numaralı bendinin (a) alt bendinde yer alan menkul sermaye iratlarından, </w:t>
      </w:r>
    </w:p>
    <w:p w14:paraId="0964A93B"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 75 inci maddenin ikinci fıkrasının (15) numaralı bendinin (b) alt bendinde yer alan menkul sermaye iratlarından, </w:t>
      </w:r>
    </w:p>
    <w:p w14:paraId="75BD0230"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c) 75 inci maddenin ikinci fıkrasının (15) numaralı bendinin (c) alt bendinde yer alan menkul sermaye iratlarından, </w:t>
      </w:r>
    </w:p>
    <w:p w14:paraId="45B6DAD7"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6F09EFC2" w14:textId="11B0C65F"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9. —</w:t>
      </w:r>
      <w:r w:rsidRPr="00F11145">
        <w:rPr>
          <w:rFonts w:ascii="Arial" w:eastAsiaTheme="minorHAnsi" w:hAnsi="Arial" w:cs="Arial"/>
          <w:noProof w:val="0"/>
          <w:color w:val="000000"/>
          <w:kern w:val="0"/>
          <w:position w:val="0"/>
          <w:sz w:val="20"/>
          <w:szCs w:val="20"/>
          <w:lang w:eastAsia="tr-TR"/>
        </w:rPr>
        <w:t xml:space="preserve"> 3.6.1949 tarihli ve 5422 sayılı Kurumlar Vergisi Kanununun değişik 8 inci maddesinin birinci fıkrasının (4) numaralı bendine aşağıdaki alt bent eklenmiştir. </w:t>
      </w:r>
    </w:p>
    <w:p w14:paraId="6B3FDD49"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e) Emeklilik yatırım fonlarının kazançları (Bu kazançlar Gelir Vergisi Kanununun 94 üncü maddesine göre tevkifata tabi tutulmaz.), </w:t>
      </w:r>
    </w:p>
    <w:p w14:paraId="0C192472"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lastRenderedPageBreak/>
        <w:t>MADDE 11. —</w:t>
      </w:r>
      <w:r w:rsidRPr="00F11145">
        <w:rPr>
          <w:rFonts w:ascii="Arial" w:eastAsiaTheme="minorHAnsi" w:hAnsi="Arial" w:cs="Arial"/>
          <w:noProof w:val="0"/>
          <w:color w:val="000000"/>
          <w:kern w:val="0"/>
          <w:position w:val="0"/>
          <w:sz w:val="20"/>
          <w:szCs w:val="20"/>
          <w:lang w:eastAsia="tr-TR"/>
        </w:rPr>
        <w:t xml:space="preserve"> 1.7.1964 tarihli ve 488 sayılı Damga Vergisi Kanununa ekli (2) sayılı tablonun "V- Kurumlarla ilgili kâğıtlar" başlıklı bölümüne aşağıdaki 21 numaralı fıkra eklenmiştir. </w:t>
      </w:r>
    </w:p>
    <w:p w14:paraId="3B97E4AF"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21. Sigorta ve emeklilik şirketleri ile emeklilik yatırım fonlarının kuruluşları dahil her türlü işlemlerinde düzenlenen ve damga vergisi bu şirketler veya fonlar tarafından ödenmesi gereken kâğıtlar. </w:t>
      </w:r>
    </w:p>
    <w:p w14:paraId="592F1106"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4D2CDB0D" w14:textId="0D82421D"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12. —</w:t>
      </w:r>
      <w:r w:rsidRPr="00F11145">
        <w:rPr>
          <w:rFonts w:ascii="Arial" w:eastAsiaTheme="minorHAnsi" w:hAnsi="Arial" w:cs="Arial"/>
          <w:noProof w:val="0"/>
          <w:color w:val="000000"/>
          <w:kern w:val="0"/>
          <w:position w:val="0"/>
          <w:sz w:val="20"/>
          <w:szCs w:val="20"/>
          <w:lang w:eastAsia="tr-TR"/>
        </w:rPr>
        <w:t xml:space="preserve"> 13.7.1956 tarihli ve 6802 sayılı Gider Vergileri Kanununun 29 uncu maddesinin (i) bendi aşağıdaki şekilde değiştirilmiş ve aynı maddeye aşağıdaki (t) ve (u) bentleri eklenmiştir. </w:t>
      </w:r>
    </w:p>
    <w:p w14:paraId="4CDC5485"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i) Emeklilik sözleşmeleri, hayat sigortaları (hayat sigortalarında ferdi kaza, hastalık sonucu malûliyet ve tehlikeli hastalıklar teminatlarının da ek teminat olarak verildiği sözleşmeler dahil) ve sağlık sigortaları ile ihracata ait nakliyat sigortalarında sözleşme ve poliçe üzerinden alınan paralar, </w:t>
      </w:r>
    </w:p>
    <w:p w14:paraId="3BA34124"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t) Emeklilik yatırım fonlarının, sermaye piyasalarında yaptıkları işlemler nedeniyle elde ettikleri paralar, </w:t>
      </w:r>
    </w:p>
    <w:p w14:paraId="0106DF38"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u) Banka ve sigorta şirketleri ile emeklilik şirketlerinin kuruluşlarında veya sermayelerini artırdıkları sırada çıkardıkları hisse senetlerinin itibarî değerlerinin üzerinde elden çıkarılması sonucu kendi lehlerine kalan paralar. </w:t>
      </w:r>
    </w:p>
    <w:p w14:paraId="70DC4A27"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7FAE1259" w14:textId="7DACFFBF"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GEÇİCİ MADDE 1. —</w:t>
      </w:r>
      <w:r w:rsidRPr="00F11145">
        <w:rPr>
          <w:rFonts w:ascii="Arial" w:eastAsiaTheme="minorHAnsi" w:hAnsi="Arial" w:cs="Arial"/>
          <w:noProof w:val="0"/>
          <w:color w:val="000000"/>
          <w:kern w:val="0"/>
          <w:position w:val="0"/>
          <w:sz w:val="20"/>
          <w:szCs w:val="20"/>
          <w:lang w:eastAsia="tr-TR"/>
        </w:rPr>
        <w:t xml:space="preserve"> Bu maddenin yürürlüğe girdiği tarihten önce; </w:t>
      </w:r>
    </w:p>
    <w:p w14:paraId="5402EA93"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a) Faaliyete başlamış olan emekli ve yardım sandıklarına ödenen primler ile bu sandıklardan iştirakçilerine yapılan ödemeler, </w:t>
      </w:r>
    </w:p>
    <w:p w14:paraId="0EEDF3BB"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 Akdedilmiş şahıs sigorta poliçelerinin ilgili olduğu prim ve ödemeler, </w:t>
      </w:r>
    </w:p>
    <w:p w14:paraId="59ABF6BE"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Bakımından Gelir Vergisi Kanununun 23, 25, 63, 75, 89 ve 94 üncü maddelerinin bu Kanunla değişiklik yapılmadan önceki hükümleri uygulanır. </w:t>
      </w:r>
    </w:p>
    <w:p w14:paraId="335F1777"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3525BE80" w14:textId="4E15BF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14. —</w:t>
      </w:r>
      <w:r w:rsidRPr="00F11145">
        <w:rPr>
          <w:rFonts w:ascii="Arial" w:eastAsiaTheme="minorHAnsi" w:hAnsi="Arial" w:cs="Arial"/>
          <w:noProof w:val="0"/>
          <w:color w:val="000000"/>
          <w:kern w:val="0"/>
          <w:position w:val="0"/>
          <w:sz w:val="20"/>
          <w:szCs w:val="20"/>
          <w:lang w:eastAsia="tr-TR"/>
        </w:rPr>
        <w:t xml:space="preserve"> Bu Kanunun; </w:t>
      </w:r>
    </w:p>
    <w:p w14:paraId="040A086C"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a) 8 inci maddesi ile Gelir Vergisi Kanununun 94 üncü maddesinin (11) numaralı bendinde yapılan değişiklik hükmü, 10 uncu maddesi, 12 nci maddesiyle Gider Vergileri Kanununun 29 uncu maddesine eklenen (u) bendi, 13 üncü maddesi ve Geçici 2 nci maddesi yayımı tarihinde, </w:t>
      </w:r>
    </w:p>
    <w:p w14:paraId="0FF1DB7F"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b) Diğer hükümleri 7.10.2001 tarihinde, </w:t>
      </w:r>
    </w:p>
    <w:p w14:paraId="4C7E5CD2" w14:textId="77777777"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noProof w:val="0"/>
          <w:color w:val="000000"/>
          <w:kern w:val="0"/>
          <w:position w:val="0"/>
          <w:sz w:val="20"/>
          <w:szCs w:val="20"/>
          <w:lang w:eastAsia="tr-TR"/>
        </w:rPr>
        <w:t xml:space="preserve">Yürürlüğe girer. </w:t>
      </w:r>
    </w:p>
    <w:p w14:paraId="6EB8D96B" w14:textId="77777777" w:rsid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p>
    <w:p w14:paraId="26BBBB48" w14:textId="47FA7720" w:rsidR="00F11145" w:rsidRPr="00F11145" w:rsidRDefault="00F11145" w:rsidP="00F11145">
      <w:pPr>
        <w:spacing w:line="276" w:lineRule="auto"/>
        <w:ind w:left="170"/>
        <w:rPr>
          <w:rFonts w:ascii="Arial" w:eastAsiaTheme="minorHAnsi" w:hAnsi="Arial" w:cs="Arial"/>
          <w:noProof w:val="0"/>
          <w:color w:val="000000"/>
          <w:kern w:val="0"/>
          <w:position w:val="0"/>
          <w:sz w:val="20"/>
          <w:szCs w:val="20"/>
          <w:lang w:eastAsia="tr-TR"/>
        </w:rPr>
      </w:pPr>
      <w:r w:rsidRPr="00F11145">
        <w:rPr>
          <w:rFonts w:ascii="Arial" w:eastAsiaTheme="minorHAnsi" w:hAnsi="Arial" w:cs="Arial"/>
          <w:b/>
          <w:noProof w:val="0"/>
          <w:color w:val="000000"/>
          <w:kern w:val="0"/>
          <w:position w:val="0"/>
          <w:sz w:val="20"/>
          <w:szCs w:val="20"/>
          <w:lang w:eastAsia="tr-TR"/>
        </w:rPr>
        <w:t>MADDE 15. —</w:t>
      </w:r>
      <w:r w:rsidRPr="00F11145">
        <w:rPr>
          <w:rFonts w:ascii="Arial" w:eastAsiaTheme="minorHAnsi" w:hAnsi="Arial" w:cs="Arial"/>
          <w:noProof w:val="0"/>
          <w:color w:val="000000"/>
          <w:kern w:val="0"/>
          <w:position w:val="0"/>
          <w:sz w:val="20"/>
          <w:szCs w:val="20"/>
          <w:lang w:eastAsia="tr-TR"/>
        </w:rPr>
        <w:t xml:space="preserve"> Bu Kanun hükümlerini Bakanlar Kurulu yürütür.</w:t>
      </w:r>
    </w:p>
    <w:p w14:paraId="59752A3D" w14:textId="77777777" w:rsidR="00626E7B" w:rsidRPr="00F11145" w:rsidRDefault="00626E7B" w:rsidP="00F11145">
      <w:pPr>
        <w:spacing w:line="276" w:lineRule="auto"/>
        <w:ind w:left="170"/>
        <w:rPr>
          <w:rFonts w:ascii="Arial" w:eastAsiaTheme="minorHAnsi" w:hAnsi="Arial" w:cs="Arial"/>
          <w:noProof w:val="0"/>
          <w:color w:val="000000"/>
          <w:kern w:val="0"/>
          <w:position w:val="0"/>
          <w:sz w:val="20"/>
          <w:szCs w:val="20"/>
          <w:lang w:eastAsia="tr-TR"/>
        </w:rPr>
      </w:pPr>
    </w:p>
    <w:sectPr w:rsidR="00626E7B" w:rsidRPr="00F1114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25E8" w14:textId="77777777" w:rsidR="00F11145" w:rsidRDefault="00F11145" w:rsidP="00F11145">
      <w:r>
        <w:separator/>
      </w:r>
    </w:p>
  </w:endnote>
  <w:endnote w:type="continuationSeparator" w:id="0">
    <w:p w14:paraId="109F6AEF" w14:textId="77777777" w:rsidR="00F11145" w:rsidRDefault="00F11145" w:rsidP="00F1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77119" w14:textId="28B9C31C" w:rsidR="00F11145" w:rsidRPr="005B234D" w:rsidRDefault="005B234D" w:rsidP="005B234D">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bjFooterEvenPageDocProperty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0C82F" w14:textId="3D4C8BEA" w:rsidR="00F11145" w:rsidRPr="005B234D" w:rsidRDefault="005B234D" w:rsidP="005B234D">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bjFooterBothDocProperty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D369" w14:textId="71D2B273" w:rsidR="00F11145" w:rsidRPr="005B234D" w:rsidRDefault="005B234D" w:rsidP="005B234D">
    <w:pPr>
      <w:pStyle w:val="AltBilgi"/>
      <w:jc w:val="left"/>
    </w:pPr>
    <w:r>
      <w:rPr>
        <w:rFonts w:ascii="Arial" w:eastAsiaTheme="minorHAnsi" w:hAnsi="Arial" w:cs="Arial"/>
        <w:noProof w:val="0"/>
        <w:color w:val="000000"/>
        <w:kern w:val="0"/>
        <w:position w:val="0"/>
        <w:sz w:val="20"/>
        <w:szCs w:val="20"/>
        <w:lang w:eastAsia="tr-TR"/>
      </w:rPr>
      <w:fldChar w:fldCharType="begin" w:fldLock="1"/>
    </w:r>
    <w:r>
      <w:rPr>
        <w:rFonts w:ascii="Arial" w:eastAsiaTheme="minorHAnsi" w:hAnsi="Arial" w:cs="Arial"/>
        <w:noProof w:val="0"/>
        <w:color w:val="000000"/>
        <w:kern w:val="0"/>
        <w:position w:val="0"/>
        <w:sz w:val="20"/>
        <w:szCs w:val="20"/>
        <w:lang w:eastAsia="tr-TR"/>
      </w:rPr>
      <w:instrText xml:space="preserve"> DOCPROPERTY bjFooterFirstPageDocProperty \* MERGEFORMAT </w:instrText>
    </w:r>
    <w:r>
      <w:rPr>
        <w:rFonts w:ascii="Arial" w:eastAsiaTheme="minorHAnsi" w:hAnsi="Arial" w:cs="Arial"/>
        <w:noProof w:val="0"/>
        <w:color w:val="000000"/>
        <w:kern w:val="0"/>
        <w:position w:val="0"/>
        <w:sz w:val="20"/>
        <w:szCs w:val="20"/>
        <w:lang w:eastAsia="tr-TR"/>
      </w:rPr>
      <w:fldChar w:fldCharType="separate"/>
    </w:r>
    <w:r w:rsidRPr="006A6CC2">
      <w:rPr>
        <w:rFonts w:ascii="Malgun Gothic" w:eastAsia="Malgun Gothic" w:hAnsi="Malgun Gothic" w:cs="Arial"/>
        <w:b/>
        <w:bCs/>
        <w:noProof w:val="0"/>
        <w:color w:val="999999"/>
        <w:kern w:val="0"/>
        <w:position w:val="0"/>
        <w:sz w:val="20"/>
        <w:szCs w:val="20"/>
        <w:lang w:eastAsia="tr-TR"/>
      </w:rPr>
      <w:t>Sınıflandırma|</w:t>
    </w:r>
    <w:r w:rsidRPr="006A6CC2">
      <w:rPr>
        <w:rFonts w:ascii="Malgun Gothic" w:eastAsia="Malgun Gothic" w:hAnsi="Malgun Gothic" w:cs="Arial"/>
        <w:b/>
        <w:bCs/>
        <w:noProof w:val="0"/>
        <w:color w:val="339966"/>
        <w:kern w:val="0"/>
        <w:position w:val="0"/>
        <w:sz w:val="20"/>
        <w:szCs w:val="20"/>
        <w:lang w:eastAsia="tr-TR"/>
      </w:rPr>
      <w:t>Genel</w:t>
    </w:r>
    <w:r>
      <w:rPr>
        <w:rFonts w:ascii="Arial" w:eastAsiaTheme="minorHAnsi" w:hAnsi="Arial" w:cs="Arial"/>
        <w:noProof w:val="0"/>
        <w:color w:val="000000"/>
        <w:kern w:val="0"/>
        <w:position w:val="0"/>
        <w:sz w:val="20"/>
        <w:szCs w:val="2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ED2BD" w14:textId="77777777" w:rsidR="00F11145" w:rsidRDefault="00F11145" w:rsidP="00F11145">
      <w:r>
        <w:separator/>
      </w:r>
    </w:p>
  </w:footnote>
  <w:footnote w:type="continuationSeparator" w:id="0">
    <w:p w14:paraId="6015F703" w14:textId="77777777" w:rsidR="00F11145" w:rsidRDefault="00F11145" w:rsidP="00F1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75DA" w14:textId="77777777" w:rsidR="00F11145" w:rsidRDefault="00F111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F6233" w14:textId="77777777" w:rsidR="00F11145" w:rsidRDefault="00F111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4F8AD" w14:textId="77777777" w:rsidR="00F11145" w:rsidRDefault="00F1114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F4"/>
    <w:rsid w:val="005B234D"/>
    <w:rsid w:val="00626E7B"/>
    <w:rsid w:val="00E148F4"/>
    <w:rsid w:val="00F11145"/>
    <w:rsid w:val="00F81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C8E94"/>
  <w15:chartTrackingRefBased/>
  <w15:docId w15:val="{8E8AFEDE-D2A2-42E1-86B8-69C97C3F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145"/>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F11145"/>
    <w:pPr>
      <w:keepNext/>
      <w:widowControl w:val="0"/>
      <w:spacing w:line="260" w:lineRule="atLeast"/>
      <w:ind w:right="17"/>
      <w:jc w:val="center"/>
      <w:outlineLvl w:val="1"/>
    </w:pPr>
    <w:rPr>
      <w:rFonts w:ascii="Arial" w:eastAsia="Cambria" w:hAnsi="Arial" w:cs="Arial"/>
      <w:b/>
      <w:bCs/>
      <w:position w:val="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11145"/>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F11145"/>
    <w:pPr>
      <w:tabs>
        <w:tab w:val="center" w:pos="4536"/>
        <w:tab w:val="right" w:pos="9072"/>
      </w:tabs>
    </w:pPr>
  </w:style>
  <w:style w:type="character" w:customStyle="1" w:styleId="stBilgiChar">
    <w:name w:val="Üst Bilgi Char"/>
    <w:basedOn w:val="VarsaylanParagrafYazTipi"/>
    <w:link w:val="stBilgi"/>
    <w:uiPriority w:val="99"/>
    <w:rsid w:val="00F11145"/>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F11145"/>
    <w:pPr>
      <w:tabs>
        <w:tab w:val="center" w:pos="4536"/>
        <w:tab w:val="right" w:pos="9072"/>
      </w:tabs>
    </w:pPr>
  </w:style>
  <w:style w:type="character" w:customStyle="1" w:styleId="AltBilgiChar">
    <w:name w:val="Alt Bilgi Char"/>
    <w:basedOn w:val="VarsaylanParagrafYazTipi"/>
    <w:link w:val="AltBilgi"/>
    <w:uiPriority w:val="99"/>
    <w:rsid w:val="00F11145"/>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73E924BA-C6E8-466F-87ED-2ADC0946567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1440</Words>
  <Characters>8210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4</cp:revision>
  <cp:lastPrinted>2023-05-05T14:40:00Z</cp:lastPrinted>
  <dcterms:created xsi:type="dcterms:W3CDTF">2023-05-05T13:28:00Z</dcterms:created>
  <dcterms:modified xsi:type="dcterms:W3CDTF">2023-05-05T14:40:00Z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33ddb577-58d4-402e-bd8d-58cea11e5777</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