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4C2BB" w14:textId="77777777" w:rsidR="005B20AA" w:rsidRPr="005B20AA" w:rsidRDefault="005B20AA" w:rsidP="005B20AA">
      <w:pPr>
        <w:pStyle w:val="Balk2"/>
        <w:keepNext w:val="0"/>
        <w:widowControl/>
        <w:spacing w:line="276" w:lineRule="auto"/>
        <w:ind w:right="0"/>
        <w:rPr>
          <w:rStyle w:val="document-info-data"/>
          <w:bCs w:val="0"/>
          <w:noProof w:val="0"/>
          <w:color w:val="000000"/>
          <w:kern w:val="0"/>
          <w:sz w:val="24"/>
          <w:szCs w:val="24"/>
        </w:rPr>
      </w:pPr>
      <w:bookmarkStart w:id="0" w:name="_Toc188934503"/>
      <w:r w:rsidRPr="005B20AA">
        <w:rPr>
          <w:rStyle w:val="document-info-data"/>
          <w:bCs w:val="0"/>
          <w:noProof w:val="0"/>
          <w:color w:val="000000"/>
          <w:kern w:val="0"/>
          <w:sz w:val="24"/>
          <w:szCs w:val="24"/>
        </w:rPr>
        <w:t>BANKALARIN EMEKLİLİK YATIRIM FONLARINA AİT MEVDUAT HESAPLARINA ÖDENEN FAİZLER ÜZERİNDEN VERGİ TEVKİFATI YAPILIP YAPILMAYACAĞI HAKKINDA ÖZELGE</w:t>
      </w:r>
      <w:bookmarkEnd w:id="0"/>
    </w:p>
    <w:p w14:paraId="511F3B33" w14:textId="77777777" w:rsidR="005B20AA" w:rsidRPr="005B20AA" w:rsidRDefault="005B20AA" w:rsidP="005B20AA">
      <w:pPr>
        <w:widowControl w:val="0"/>
        <w:spacing w:line="276" w:lineRule="auto"/>
        <w:ind w:left="170" w:right="170"/>
        <w:jc w:val="both"/>
        <w:rPr>
          <w:rFonts w:ascii="Arial" w:eastAsiaTheme="minorHAnsi" w:hAnsi="Arial" w:cs="Arial"/>
          <w:b/>
          <w:noProof w:val="0"/>
          <w:color w:val="000000"/>
          <w:position w:val="0"/>
          <w:sz w:val="20"/>
          <w:szCs w:val="20"/>
        </w:rPr>
      </w:pPr>
    </w:p>
    <w:p w14:paraId="362F075E" w14:textId="77777777" w:rsidR="005B20AA" w:rsidRPr="005B20AA" w:rsidRDefault="005B20AA" w:rsidP="005B20AA">
      <w:pPr>
        <w:widowControl w:val="0"/>
        <w:spacing w:line="276" w:lineRule="auto"/>
        <w:ind w:left="170" w:right="170"/>
        <w:jc w:val="both"/>
        <w:rPr>
          <w:rFonts w:ascii="Arial" w:eastAsiaTheme="minorHAnsi" w:hAnsi="Arial" w:cs="Arial"/>
          <w:b/>
          <w:noProof w:val="0"/>
          <w:color w:val="000000"/>
          <w:position w:val="0"/>
          <w:sz w:val="20"/>
          <w:szCs w:val="20"/>
        </w:rPr>
      </w:pPr>
      <w:r w:rsidRPr="005B20AA">
        <w:rPr>
          <w:rFonts w:ascii="Arial" w:eastAsiaTheme="minorHAnsi" w:hAnsi="Arial" w:cs="Arial"/>
          <w:b/>
          <w:noProof w:val="0"/>
          <w:color w:val="000000"/>
          <w:position w:val="0"/>
          <w:sz w:val="20"/>
          <w:szCs w:val="20"/>
        </w:rPr>
        <w:t xml:space="preserve">Tarih </w:t>
      </w:r>
      <w:r w:rsidRPr="005B20AA">
        <w:rPr>
          <w:rFonts w:ascii="Arial" w:eastAsiaTheme="minorHAnsi" w:hAnsi="Arial" w:cs="Arial"/>
          <w:b/>
          <w:noProof w:val="0"/>
          <w:color w:val="000000"/>
          <w:position w:val="0"/>
          <w:sz w:val="20"/>
          <w:szCs w:val="20"/>
        </w:rPr>
        <w:tab/>
      </w:r>
      <w:r w:rsidRPr="005B20AA">
        <w:rPr>
          <w:rFonts w:ascii="Arial" w:eastAsiaTheme="minorHAnsi" w:hAnsi="Arial" w:cs="Arial"/>
          <w:b/>
          <w:noProof w:val="0"/>
          <w:color w:val="000000"/>
          <w:position w:val="0"/>
          <w:sz w:val="20"/>
          <w:szCs w:val="20"/>
        </w:rPr>
        <w:tab/>
      </w:r>
      <w:r w:rsidRPr="005B20AA">
        <w:rPr>
          <w:rFonts w:ascii="Arial" w:eastAsiaTheme="minorHAnsi" w:hAnsi="Arial" w:cs="Arial"/>
          <w:noProof w:val="0"/>
          <w:color w:val="000000"/>
          <w:position w:val="0"/>
          <w:sz w:val="20"/>
          <w:szCs w:val="20"/>
        </w:rPr>
        <w:t>05/07/2007</w:t>
      </w:r>
      <w:r w:rsidRPr="005B20AA">
        <w:rPr>
          <w:rFonts w:ascii="Arial" w:eastAsiaTheme="minorHAnsi" w:hAnsi="Arial" w:cs="Arial"/>
          <w:b/>
          <w:noProof w:val="0"/>
          <w:color w:val="000000"/>
          <w:position w:val="0"/>
          <w:sz w:val="20"/>
          <w:szCs w:val="20"/>
        </w:rPr>
        <w:t xml:space="preserve"> </w:t>
      </w:r>
    </w:p>
    <w:p w14:paraId="453A73F2" w14:textId="77777777" w:rsidR="005B20AA" w:rsidRPr="005B20AA" w:rsidRDefault="005B20AA" w:rsidP="005B20AA">
      <w:pPr>
        <w:widowControl w:val="0"/>
        <w:spacing w:line="276" w:lineRule="auto"/>
        <w:ind w:left="170" w:right="170"/>
        <w:jc w:val="both"/>
        <w:rPr>
          <w:rFonts w:ascii="Arial" w:eastAsiaTheme="minorHAnsi" w:hAnsi="Arial" w:cs="Arial"/>
          <w:b/>
          <w:noProof w:val="0"/>
          <w:color w:val="000000"/>
          <w:position w:val="0"/>
          <w:sz w:val="20"/>
          <w:szCs w:val="20"/>
        </w:rPr>
      </w:pPr>
      <w:r w:rsidRPr="005B20AA">
        <w:rPr>
          <w:rFonts w:ascii="Arial" w:eastAsiaTheme="minorHAnsi" w:hAnsi="Arial" w:cs="Arial"/>
          <w:b/>
          <w:noProof w:val="0"/>
          <w:color w:val="000000"/>
          <w:position w:val="0"/>
          <w:sz w:val="20"/>
          <w:szCs w:val="20"/>
        </w:rPr>
        <w:t xml:space="preserve">Sayı </w:t>
      </w:r>
      <w:r w:rsidRPr="005B20AA">
        <w:rPr>
          <w:rFonts w:ascii="Arial" w:eastAsiaTheme="minorHAnsi" w:hAnsi="Arial" w:cs="Arial"/>
          <w:b/>
          <w:noProof w:val="0"/>
          <w:color w:val="000000"/>
          <w:position w:val="0"/>
          <w:sz w:val="20"/>
          <w:szCs w:val="20"/>
        </w:rPr>
        <w:tab/>
      </w:r>
      <w:r w:rsidRPr="005B20AA">
        <w:rPr>
          <w:rFonts w:ascii="Arial" w:eastAsiaTheme="minorHAnsi" w:hAnsi="Arial" w:cs="Arial"/>
          <w:b/>
          <w:noProof w:val="0"/>
          <w:color w:val="000000"/>
          <w:position w:val="0"/>
          <w:sz w:val="20"/>
          <w:szCs w:val="20"/>
        </w:rPr>
        <w:tab/>
      </w:r>
      <w:r w:rsidRPr="005B20AA">
        <w:rPr>
          <w:rFonts w:ascii="Arial" w:eastAsiaTheme="minorHAnsi" w:hAnsi="Arial" w:cs="Arial"/>
          <w:noProof w:val="0"/>
          <w:color w:val="000000"/>
          <w:position w:val="0"/>
          <w:sz w:val="20"/>
          <w:szCs w:val="20"/>
        </w:rPr>
        <w:t>B.07.0.GİB.0.40/4034-898-59677</w:t>
      </w:r>
      <w:r w:rsidRPr="005B20AA">
        <w:rPr>
          <w:rFonts w:ascii="Arial" w:eastAsiaTheme="minorHAnsi" w:hAnsi="Arial" w:cs="Arial"/>
          <w:b/>
          <w:noProof w:val="0"/>
          <w:color w:val="000000"/>
          <w:position w:val="0"/>
          <w:sz w:val="20"/>
          <w:szCs w:val="20"/>
        </w:rPr>
        <w:t xml:space="preserve"> </w:t>
      </w:r>
    </w:p>
    <w:p w14:paraId="6E7ED9BC" w14:textId="77777777" w:rsidR="005B20AA" w:rsidRPr="005B20AA" w:rsidRDefault="005B20AA" w:rsidP="005B20AA">
      <w:pPr>
        <w:widowControl w:val="0"/>
        <w:spacing w:line="276" w:lineRule="auto"/>
        <w:ind w:left="170" w:right="170"/>
        <w:jc w:val="both"/>
        <w:rPr>
          <w:rFonts w:ascii="Arial" w:eastAsiaTheme="minorHAnsi" w:hAnsi="Arial" w:cs="Arial"/>
          <w:b/>
          <w:noProof w:val="0"/>
          <w:color w:val="000000"/>
          <w:position w:val="0"/>
          <w:sz w:val="20"/>
          <w:szCs w:val="20"/>
        </w:rPr>
      </w:pPr>
      <w:r w:rsidRPr="005B20AA">
        <w:rPr>
          <w:rFonts w:ascii="Arial" w:eastAsiaTheme="minorHAnsi" w:hAnsi="Arial" w:cs="Arial"/>
          <w:b/>
          <w:noProof w:val="0"/>
          <w:color w:val="000000"/>
          <w:position w:val="0"/>
          <w:sz w:val="20"/>
          <w:szCs w:val="20"/>
        </w:rPr>
        <w:t xml:space="preserve">Kapsam  </w:t>
      </w:r>
    </w:p>
    <w:p w14:paraId="137404CD" w14:textId="2C210DEB" w:rsidR="005B20AA" w:rsidRPr="005B20AA" w:rsidRDefault="005B20AA" w:rsidP="005B20AA">
      <w:pPr>
        <w:widowControl w:val="0"/>
        <w:spacing w:line="276" w:lineRule="auto"/>
        <w:ind w:left="170" w:right="170"/>
        <w:jc w:val="center"/>
        <w:rPr>
          <w:rFonts w:ascii="Arial" w:eastAsiaTheme="minorHAnsi" w:hAnsi="Arial" w:cs="Arial"/>
          <w:b/>
          <w:noProof w:val="0"/>
          <w:color w:val="000000"/>
          <w:position w:val="0"/>
          <w:sz w:val="20"/>
          <w:szCs w:val="20"/>
        </w:rPr>
      </w:pPr>
    </w:p>
    <w:p w14:paraId="64E8D78E" w14:textId="77777777" w:rsidR="005B20AA" w:rsidRPr="005B20AA" w:rsidRDefault="005B20AA" w:rsidP="005B20AA">
      <w:pPr>
        <w:widowControl w:val="0"/>
        <w:spacing w:line="276" w:lineRule="auto"/>
        <w:ind w:left="170" w:right="170"/>
        <w:jc w:val="center"/>
        <w:rPr>
          <w:rFonts w:ascii="Arial" w:eastAsiaTheme="minorHAnsi" w:hAnsi="Arial" w:cs="Arial"/>
          <w:b/>
          <w:noProof w:val="0"/>
          <w:color w:val="000000"/>
          <w:position w:val="0"/>
          <w:sz w:val="20"/>
          <w:szCs w:val="20"/>
        </w:rPr>
      </w:pPr>
      <w:r w:rsidRPr="005B20AA">
        <w:rPr>
          <w:rFonts w:ascii="Arial" w:eastAsiaTheme="minorHAnsi" w:hAnsi="Arial" w:cs="Arial"/>
          <w:b/>
          <w:noProof w:val="0"/>
          <w:color w:val="000000"/>
          <w:position w:val="0"/>
          <w:sz w:val="20"/>
          <w:szCs w:val="20"/>
        </w:rPr>
        <w:t>T.C.</w:t>
      </w:r>
    </w:p>
    <w:p w14:paraId="53A24D6F" w14:textId="2AE00F53" w:rsidR="005B20AA" w:rsidRPr="005B20AA" w:rsidRDefault="005B20AA" w:rsidP="005B20AA">
      <w:pPr>
        <w:widowControl w:val="0"/>
        <w:spacing w:line="276" w:lineRule="auto"/>
        <w:ind w:left="170" w:right="170"/>
        <w:jc w:val="center"/>
        <w:rPr>
          <w:rFonts w:ascii="Arial" w:eastAsiaTheme="minorHAnsi" w:hAnsi="Arial" w:cs="Arial"/>
          <w:b/>
          <w:noProof w:val="0"/>
          <w:color w:val="000000"/>
          <w:position w:val="0"/>
          <w:sz w:val="20"/>
          <w:szCs w:val="20"/>
        </w:rPr>
      </w:pPr>
      <w:bookmarkStart w:id="1" w:name="_GoBack"/>
      <w:bookmarkEnd w:id="1"/>
      <w:r w:rsidRPr="005B20AA">
        <w:rPr>
          <w:rFonts w:ascii="Arial" w:eastAsiaTheme="minorHAnsi" w:hAnsi="Arial" w:cs="Arial"/>
          <w:b/>
          <w:noProof w:val="0"/>
          <w:color w:val="000000"/>
          <w:position w:val="0"/>
          <w:sz w:val="20"/>
          <w:szCs w:val="20"/>
        </w:rPr>
        <w:t>MALİYE BAKANLIĞI</w:t>
      </w:r>
    </w:p>
    <w:p w14:paraId="45955CA3" w14:textId="2D366BFE" w:rsidR="005B20AA" w:rsidRPr="005B20AA" w:rsidRDefault="005B20AA" w:rsidP="005B20AA">
      <w:pPr>
        <w:widowControl w:val="0"/>
        <w:spacing w:line="276" w:lineRule="auto"/>
        <w:ind w:left="170" w:right="170"/>
        <w:jc w:val="center"/>
        <w:rPr>
          <w:rFonts w:ascii="Arial" w:eastAsiaTheme="minorHAnsi" w:hAnsi="Arial" w:cs="Arial"/>
          <w:b/>
          <w:noProof w:val="0"/>
          <w:color w:val="000000"/>
          <w:position w:val="0"/>
          <w:sz w:val="20"/>
          <w:szCs w:val="20"/>
        </w:rPr>
      </w:pPr>
      <w:r w:rsidRPr="005B20AA">
        <w:rPr>
          <w:rFonts w:ascii="Arial" w:eastAsiaTheme="minorHAnsi" w:hAnsi="Arial" w:cs="Arial"/>
          <w:b/>
          <w:noProof w:val="0"/>
          <w:color w:val="000000"/>
          <w:position w:val="0"/>
          <w:sz w:val="20"/>
          <w:szCs w:val="20"/>
        </w:rPr>
        <w:t>Gelir İdaresi Başkanlığı</w:t>
      </w:r>
    </w:p>
    <w:p w14:paraId="60B145AD" w14:textId="76476D3B" w:rsidR="005B20AA" w:rsidRPr="005B20AA" w:rsidRDefault="005B20AA" w:rsidP="005B20AA">
      <w:pPr>
        <w:spacing w:line="276" w:lineRule="auto"/>
        <w:rPr>
          <w:rFonts w:ascii="Arial" w:hAnsi="Arial" w:cs="Arial"/>
          <w:position w:val="0"/>
          <w:sz w:val="20"/>
          <w:szCs w:val="20"/>
        </w:rPr>
      </w:pPr>
      <w:r>
        <w:rPr>
          <w:rFonts w:ascii="Arial" w:hAnsi="Arial" w:cs="Arial"/>
          <w:position w:val="0"/>
          <w:sz w:val="20"/>
          <w:szCs w:val="20"/>
        </w:rPr>
        <w:t xml:space="preserve">                                                         </w:t>
      </w:r>
    </w:p>
    <w:p w14:paraId="014B1AE5" w14:textId="104FF629" w:rsidR="005B20AA" w:rsidRPr="005B20AA" w:rsidRDefault="005B20AA" w:rsidP="005B20AA">
      <w:pPr>
        <w:widowControl w:val="0"/>
        <w:spacing w:line="276" w:lineRule="auto"/>
        <w:ind w:left="170" w:right="170"/>
        <w:jc w:val="both"/>
        <w:rPr>
          <w:rFonts w:ascii="Arial" w:eastAsiaTheme="minorHAnsi" w:hAnsi="Arial" w:cs="Arial"/>
          <w:b/>
          <w:noProof w:val="0"/>
          <w:color w:val="000000"/>
          <w:position w:val="0"/>
          <w:sz w:val="20"/>
          <w:szCs w:val="20"/>
        </w:rPr>
      </w:pPr>
      <w:r w:rsidRPr="005B20AA">
        <w:rPr>
          <w:rFonts w:ascii="Arial" w:eastAsiaTheme="minorHAnsi" w:hAnsi="Arial" w:cs="Arial"/>
          <w:b/>
          <w:noProof w:val="0"/>
          <w:color w:val="000000"/>
          <w:position w:val="0"/>
          <w:sz w:val="20"/>
          <w:szCs w:val="20"/>
        </w:rPr>
        <w:t>Sayı     : B.07.0.GİB.0.40/4034-898-59677</w:t>
      </w:r>
    </w:p>
    <w:p w14:paraId="39538115" w14:textId="77777777" w:rsidR="005B20AA" w:rsidRDefault="005B20AA" w:rsidP="005B20AA">
      <w:pPr>
        <w:widowControl w:val="0"/>
        <w:spacing w:line="276" w:lineRule="auto"/>
        <w:ind w:left="170" w:right="170"/>
        <w:jc w:val="both"/>
        <w:rPr>
          <w:rFonts w:ascii="Arial" w:hAnsi="Arial" w:cs="Arial"/>
          <w:position w:val="0"/>
          <w:sz w:val="20"/>
          <w:szCs w:val="20"/>
        </w:rPr>
      </w:pPr>
      <w:r w:rsidRPr="005B20AA">
        <w:rPr>
          <w:rFonts w:ascii="Arial" w:eastAsiaTheme="minorHAnsi" w:hAnsi="Arial" w:cs="Arial"/>
          <w:b/>
          <w:noProof w:val="0"/>
          <w:color w:val="000000"/>
          <w:position w:val="0"/>
          <w:sz w:val="20"/>
          <w:szCs w:val="20"/>
        </w:rPr>
        <w:t xml:space="preserve">Konu   :                                                                                                                    </w:t>
      </w:r>
      <w:r>
        <w:rPr>
          <w:rFonts w:ascii="Arial" w:hAnsi="Arial" w:cs="Arial"/>
          <w:position w:val="0"/>
          <w:sz w:val="20"/>
          <w:szCs w:val="20"/>
        </w:rPr>
        <w:t>05.07.2007</w:t>
      </w:r>
    </w:p>
    <w:p w14:paraId="489C7D56" w14:textId="0750001A" w:rsidR="005B20AA" w:rsidRPr="005B20AA" w:rsidRDefault="005B20AA" w:rsidP="005B20AA">
      <w:pPr>
        <w:widowControl w:val="0"/>
        <w:spacing w:line="276" w:lineRule="auto"/>
        <w:ind w:right="170"/>
        <w:rPr>
          <w:rFonts w:ascii="Arial" w:eastAsiaTheme="minorHAnsi" w:hAnsi="Arial" w:cs="Arial"/>
          <w:b/>
          <w:noProof w:val="0"/>
          <w:color w:val="000000"/>
          <w:position w:val="0"/>
          <w:sz w:val="20"/>
          <w:szCs w:val="20"/>
        </w:rPr>
      </w:pPr>
    </w:p>
    <w:p w14:paraId="368136DE" w14:textId="77777777" w:rsidR="005B20AA" w:rsidRPr="005B20AA" w:rsidRDefault="005B20AA" w:rsidP="005B20AA">
      <w:pPr>
        <w:widowControl w:val="0"/>
        <w:spacing w:line="276" w:lineRule="auto"/>
        <w:ind w:left="170" w:right="170"/>
        <w:jc w:val="center"/>
        <w:rPr>
          <w:rFonts w:ascii="Arial" w:eastAsiaTheme="minorHAnsi" w:hAnsi="Arial" w:cs="Arial"/>
          <w:b/>
          <w:noProof w:val="0"/>
          <w:color w:val="000000"/>
          <w:position w:val="0"/>
          <w:sz w:val="20"/>
          <w:szCs w:val="20"/>
        </w:rPr>
      </w:pPr>
      <w:r w:rsidRPr="005B20AA">
        <w:rPr>
          <w:rFonts w:ascii="Arial" w:eastAsiaTheme="minorHAnsi" w:hAnsi="Arial" w:cs="Arial"/>
          <w:b/>
          <w:noProof w:val="0"/>
          <w:color w:val="000000"/>
          <w:position w:val="0"/>
          <w:sz w:val="20"/>
          <w:szCs w:val="20"/>
        </w:rPr>
        <w:t xml:space="preserve">                                   ................ A.Ş.  GENEL MÜDÜRLÜĞÜ</w:t>
      </w:r>
    </w:p>
    <w:p w14:paraId="0E888F6F" w14:textId="44A4E928" w:rsidR="005B20AA" w:rsidRPr="005B20AA" w:rsidRDefault="005B20AA" w:rsidP="005B20AA">
      <w:pPr>
        <w:spacing w:line="276" w:lineRule="auto"/>
        <w:rPr>
          <w:rFonts w:ascii="Arial" w:eastAsiaTheme="minorHAnsi" w:hAnsi="Arial" w:cs="Arial"/>
          <w:b/>
          <w:noProof w:val="0"/>
          <w:color w:val="000000"/>
          <w:position w:val="0"/>
          <w:sz w:val="20"/>
          <w:szCs w:val="20"/>
        </w:rPr>
      </w:pPr>
      <w:r w:rsidRPr="005B20AA">
        <w:rPr>
          <w:rFonts w:ascii="Arial" w:eastAsiaTheme="minorHAnsi" w:hAnsi="Arial" w:cs="Arial"/>
          <w:b/>
          <w:noProof w:val="0"/>
          <w:color w:val="000000"/>
          <w:position w:val="0"/>
          <w:sz w:val="20"/>
          <w:szCs w:val="20"/>
        </w:rPr>
        <w:t xml:space="preserve">                                                  </w:t>
      </w:r>
    </w:p>
    <w:p w14:paraId="27F34B80" w14:textId="410320B0" w:rsidR="005B20AA" w:rsidRPr="005B20AA" w:rsidRDefault="005B20AA" w:rsidP="005B20AA">
      <w:pPr>
        <w:spacing w:line="276" w:lineRule="auto"/>
        <w:ind w:firstLine="170"/>
        <w:rPr>
          <w:rFonts w:ascii="Arial" w:eastAsiaTheme="minorHAnsi" w:hAnsi="Arial" w:cs="Arial"/>
          <w:b/>
          <w:noProof w:val="0"/>
          <w:color w:val="000000"/>
          <w:position w:val="0"/>
          <w:sz w:val="20"/>
          <w:szCs w:val="20"/>
        </w:rPr>
      </w:pPr>
      <w:r w:rsidRPr="005B20AA">
        <w:rPr>
          <w:rFonts w:ascii="Arial" w:eastAsiaTheme="minorHAnsi" w:hAnsi="Arial" w:cs="Arial"/>
          <w:b/>
          <w:noProof w:val="0"/>
          <w:color w:val="000000"/>
          <w:position w:val="0"/>
          <w:sz w:val="20"/>
          <w:szCs w:val="20"/>
        </w:rPr>
        <w:t>İlgi     : 02/02/2007 tarihli ve MVZ 2007/1 sayılı yazınız.</w:t>
      </w:r>
    </w:p>
    <w:p w14:paraId="3BA42D7D" w14:textId="77777777" w:rsidR="005B20AA" w:rsidRPr="005B20AA" w:rsidRDefault="005B20AA" w:rsidP="005B20AA">
      <w:pPr>
        <w:widowControl w:val="0"/>
        <w:spacing w:line="276" w:lineRule="auto"/>
        <w:ind w:left="170" w:right="170"/>
        <w:jc w:val="both"/>
        <w:rPr>
          <w:rFonts w:ascii="Arial" w:eastAsiaTheme="minorHAnsi" w:hAnsi="Arial" w:cs="Arial"/>
          <w:noProof w:val="0"/>
          <w:color w:val="000000"/>
          <w:position w:val="0"/>
          <w:sz w:val="20"/>
          <w:szCs w:val="20"/>
        </w:rPr>
      </w:pPr>
    </w:p>
    <w:p w14:paraId="2471F2E6" w14:textId="77777777" w:rsidR="005B20AA" w:rsidRPr="005B20AA" w:rsidRDefault="005B20AA" w:rsidP="005B20AA">
      <w:pPr>
        <w:widowControl w:val="0"/>
        <w:spacing w:line="276" w:lineRule="auto"/>
        <w:ind w:left="170" w:right="170"/>
        <w:jc w:val="both"/>
        <w:rPr>
          <w:rFonts w:ascii="Arial" w:eastAsiaTheme="minorHAnsi" w:hAnsi="Arial" w:cs="Arial"/>
          <w:noProof w:val="0"/>
          <w:color w:val="000000"/>
          <w:position w:val="0"/>
          <w:sz w:val="20"/>
          <w:szCs w:val="20"/>
        </w:rPr>
      </w:pPr>
      <w:r w:rsidRPr="005B20AA">
        <w:rPr>
          <w:rFonts w:ascii="Arial" w:eastAsiaTheme="minorHAnsi" w:hAnsi="Arial" w:cs="Arial"/>
          <w:noProof w:val="0"/>
          <w:color w:val="000000"/>
          <w:position w:val="0"/>
          <w:sz w:val="20"/>
          <w:szCs w:val="20"/>
        </w:rPr>
        <w:t>İlgide kayıtlı yazınızın incelenmesinden, Bankanızca emeklilik yatırım fonlarına ait mevduat hesaplarına ödenecek faizler üzerinden vergi tevkifatı yapılıp yapılmayacağı hususunda tereddüte düşüldüğü anlaşılmış olup, konuyla ilgili olarak aşağıdaki açıklamaların yapılmasına gerek görülmüştür.</w:t>
      </w:r>
    </w:p>
    <w:p w14:paraId="428016E7" w14:textId="77777777" w:rsidR="005B20AA" w:rsidRPr="005B20AA" w:rsidRDefault="005B20AA" w:rsidP="005B20AA">
      <w:pPr>
        <w:widowControl w:val="0"/>
        <w:spacing w:line="276" w:lineRule="auto"/>
        <w:ind w:left="170" w:right="170"/>
        <w:jc w:val="both"/>
        <w:rPr>
          <w:rFonts w:ascii="Arial" w:eastAsiaTheme="minorHAnsi" w:hAnsi="Arial" w:cs="Arial"/>
          <w:noProof w:val="0"/>
          <w:color w:val="000000"/>
          <w:position w:val="0"/>
          <w:sz w:val="20"/>
          <w:szCs w:val="20"/>
        </w:rPr>
      </w:pPr>
    </w:p>
    <w:p w14:paraId="46FB8258" w14:textId="77777777" w:rsidR="005B20AA" w:rsidRPr="005B20AA" w:rsidRDefault="005B20AA" w:rsidP="005B20AA">
      <w:pPr>
        <w:widowControl w:val="0"/>
        <w:spacing w:line="276" w:lineRule="auto"/>
        <w:ind w:left="170" w:right="170"/>
        <w:jc w:val="both"/>
        <w:rPr>
          <w:rFonts w:ascii="Arial" w:eastAsiaTheme="minorHAnsi" w:hAnsi="Arial" w:cs="Arial"/>
          <w:noProof w:val="0"/>
          <w:color w:val="000000"/>
          <w:position w:val="0"/>
          <w:sz w:val="20"/>
          <w:szCs w:val="20"/>
        </w:rPr>
      </w:pPr>
      <w:r w:rsidRPr="005B20AA">
        <w:rPr>
          <w:rFonts w:ascii="Arial" w:eastAsiaTheme="minorHAnsi" w:hAnsi="Arial" w:cs="Arial"/>
          <w:noProof w:val="0"/>
          <w:color w:val="000000"/>
          <w:position w:val="0"/>
          <w:sz w:val="20"/>
          <w:szCs w:val="20"/>
        </w:rPr>
        <w:t xml:space="preserve">193 sayılı Gelir Vergisi Kanununun Geçici 67 nci maddesinin (4) numaralı fıkrasında, bankalar arası mevduat ile aracı kurumların borsa para piyasasında değerlendirdikleri kendilerine ait paralarına yürütülen faizler hariç olmak üzere, 75 inci maddenin ikinci fıkrasının (7), (12) ve (14) numaralı bentlerinde yazılı menkul sermaye iratlarından ödemeyi yapanlarca % 15 oranında tevkifat yapılacağı hükme bağlanmış, anılan maddenin (5) numaralı fıkrasında ise, Sermaye Piyasası Kanununa göre kurulan borsa yatırım fonları ve </w:t>
      </w:r>
      <w:r w:rsidRPr="005B20AA">
        <w:rPr>
          <w:rFonts w:ascii="Arial" w:eastAsiaTheme="minorHAnsi" w:hAnsi="Arial" w:cs="Arial"/>
          <w:b/>
          <w:noProof w:val="0"/>
          <w:color w:val="000000"/>
          <w:position w:val="0"/>
          <w:sz w:val="20"/>
          <w:szCs w:val="20"/>
        </w:rPr>
        <w:t>emeklilik yatırım fonlarının</w:t>
      </w:r>
      <w:r w:rsidRPr="005B20AA">
        <w:rPr>
          <w:rFonts w:ascii="Arial" w:eastAsiaTheme="minorHAnsi" w:hAnsi="Arial" w:cs="Arial"/>
          <w:noProof w:val="0"/>
          <w:color w:val="000000"/>
          <w:position w:val="0"/>
          <w:sz w:val="20"/>
          <w:szCs w:val="20"/>
        </w:rPr>
        <w:t xml:space="preserve"> elde ettikleri kazançlar üzerinden (1) ve (4) numaralı fıkralar uyarınca tevkifat yapılmayacağı belirtilmiştir. </w:t>
      </w:r>
    </w:p>
    <w:p w14:paraId="39C44F6C" w14:textId="77777777" w:rsidR="005B20AA" w:rsidRPr="005B20AA" w:rsidRDefault="005B20AA" w:rsidP="005B20AA">
      <w:pPr>
        <w:widowControl w:val="0"/>
        <w:spacing w:line="276" w:lineRule="auto"/>
        <w:ind w:left="170" w:right="170"/>
        <w:jc w:val="both"/>
        <w:rPr>
          <w:rFonts w:ascii="Arial" w:eastAsiaTheme="minorHAnsi" w:hAnsi="Arial" w:cs="Arial"/>
          <w:noProof w:val="0"/>
          <w:color w:val="000000"/>
          <w:position w:val="0"/>
          <w:sz w:val="20"/>
          <w:szCs w:val="20"/>
        </w:rPr>
      </w:pPr>
    </w:p>
    <w:p w14:paraId="3B27B9D3" w14:textId="77777777" w:rsidR="005B20AA" w:rsidRPr="005B20AA" w:rsidRDefault="005B20AA" w:rsidP="005B20AA">
      <w:pPr>
        <w:widowControl w:val="0"/>
        <w:spacing w:line="276" w:lineRule="auto"/>
        <w:ind w:left="170" w:right="170"/>
        <w:jc w:val="both"/>
        <w:rPr>
          <w:rFonts w:ascii="Arial" w:eastAsiaTheme="minorHAnsi" w:hAnsi="Arial" w:cs="Arial"/>
          <w:noProof w:val="0"/>
          <w:color w:val="000000"/>
          <w:position w:val="0"/>
          <w:sz w:val="20"/>
          <w:szCs w:val="20"/>
        </w:rPr>
      </w:pPr>
      <w:r w:rsidRPr="005B20AA">
        <w:rPr>
          <w:rFonts w:ascii="Arial" w:eastAsiaTheme="minorHAnsi" w:hAnsi="Arial" w:cs="Arial"/>
          <w:noProof w:val="0"/>
          <w:color w:val="000000"/>
          <w:position w:val="0"/>
          <w:sz w:val="20"/>
          <w:szCs w:val="20"/>
        </w:rPr>
        <w:t>Ayrıca, 5520 sayılı Kurumlar Vergisi Kanununun vergi kesintisi başlıklı 15 inci maddesinde emeklilik yatırım fonlarının kazançları üzerinden vergi tevkifatı yapılmasına ilişkin herhangi bir hüküm yer almamaktadır.</w:t>
      </w:r>
    </w:p>
    <w:p w14:paraId="7E10BA73" w14:textId="77777777" w:rsidR="005B20AA" w:rsidRPr="005B20AA" w:rsidRDefault="005B20AA" w:rsidP="005B20AA">
      <w:pPr>
        <w:widowControl w:val="0"/>
        <w:spacing w:line="276" w:lineRule="auto"/>
        <w:ind w:left="170" w:right="170"/>
        <w:jc w:val="both"/>
        <w:rPr>
          <w:rFonts w:ascii="Arial" w:eastAsiaTheme="minorHAnsi" w:hAnsi="Arial" w:cs="Arial"/>
          <w:noProof w:val="0"/>
          <w:color w:val="000000"/>
          <w:position w:val="0"/>
          <w:sz w:val="20"/>
          <w:szCs w:val="20"/>
        </w:rPr>
      </w:pPr>
    </w:p>
    <w:p w14:paraId="62CDD612" w14:textId="77777777" w:rsidR="005B20AA" w:rsidRPr="005B20AA" w:rsidRDefault="005B20AA" w:rsidP="005B20AA">
      <w:pPr>
        <w:widowControl w:val="0"/>
        <w:spacing w:line="276" w:lineRule="auto"/>
        <w:ind w:left="170" w:right="170"/>
        <w:jc w:val="both"/>
        <w:rPr>
          <w:rFonts w:ascii="Arial" w:eastAsiaTheme="minorHAnsi" w:hAnsi="Arial" w:cs="Arial"/>
          <w:noProof w:val="0"/>
          <w:color w:val="000000"/>
          <w:position w:val="0"/>
          <w:sz w:val="20"/>
          <w:szCs w:val="20"/>
        </w:rPr>
      </w:pPr>
      <w:r w:rsidRPr="005B20AA">
        <w:rPr>
          <w:rFonts w:ascii="Arial" w:eastAsiaTheme="minorHAnsi" w:hAnsi="Arial" w:cs="Arial"/>
          <w:noProof w:val="0"/>
          <w:color w:val="000000"/>
          <w:position w:val="0"/>
          <w:sz w:val="20"/>
          <w:szCs w:val="20"/>
        </w:rPr>
        <w:t xml:space="preserve">Konuyla ilgili ayrıntılı açıklamalar, 257 ve 258 seri numaralı Gelir Vergisi Genel Tebliğlerinde yapılmış olup, 257 seri numaralı Gelir Vergisi Genel Tebliğinin </w:t>
      </w:r>
      <w:r w:rsidRPr="005B20AA">
        <w:rPr>
          <w:rFonts w:ascii="Arial" w:eastAsiaTheme="minorHAnsi" w:hAnsi="Arial" w:cs="Arial"/>
          <w:b/>
          <w:noProof w:val="0"/>
          <w:color w:val="000000"/>
          <w:position w:val="0"/>
          <w:sz w:val="20"/>
          <w:szCs w:val="20"/>
        </w:rPr>
        <w:t>"5. Mevduat faizleri ve repo gelirleri üzerinden yapılacak tevkifat"</w:t>
      </w:r>
      <w:r w:rsidRPr="005B20AA">
        <w:rPr>
          <w:rFonts w:ascii="Arial" w:eastAsiaTheme="minorHAnsi" w:hAnsi="Arial" w:cs="Arial"/>
          <w:noProof w:val="0"/>
          <w:color w:val="000000"/>
          <w:position w:val="0"/>
          <w:sz w:val="20"/>
          <w:szCs w:val="20"/>
        </w:rPr>
        <w:t xml:space="preserve"> başlıklı bölümünde, Sermaye Piyasası Kanununa göre kurulan borsa yatırım fonları ve emeklilik yatırım fonlarının elde ettikleri kazançlar üzerinden (4) numaralı fıkra kapsamında tevkifat yapılmayacağı belirtilmiş, 258 seri numaralı Gelir Vergisi Genel Tebliği'nin </w:t>
      </w:r>
      <w:r w:rsidRPr="005B20AA">
        <w:rPr>
          <w:rFonts w:ascii="Arial" w:eastAsiaTheme="minorHAnsi" w:hAnsi="Arial" w:cs="Arial"/>
          <w:b/>
          <w:noProof w:val="0"/>
          <w:color w:val="000000"/>
          <w:position w:val="0"/>
          <w:sz w:val="20"/>
          <w:szCs w:val="20"/>
        </w:rPr>
        <w:t>"2.3- Menkul Kıymetler Yatırım Fonları ile Ortaklıklarının Gelirleri Üzerinden  Yapılacak Vergi Tevkifatı"</w:t>
      </w:r>
      <w:r w:rsidRPr="005B20AA">
        <w:rPr>
          <w:rFonts w:ascii="Arial" w:eastAsiaTheme="minorHAnsi" w:hAnsi="Arial" w:cs="Arial"/>
          <w:noProof w:val="0"/>
          <w:color w:val="000000"/>
          <w:position w:val="0"/>
          <w:sz w:val="20"/>
          <w:szCs w:val="20"/>
        </w:rPr>
        <w:t xml:space="preserve"> başlıklı bölümünde de, emeklilik yatırım fonları Geçici 67 nci madde kapsamında vergilendirilmediğinden, öteden beri devam ettiği şekilde, gerek fon bünyesinde, gerekse fonun gelirleri üzerinden söz konusu madde kapsamında tevkifat yapılmayacağı açıklamasına yer verilmiştir.</w:t>
      </w:r>
    </w:p>
    <w:p w14:paraId="0D9A59F7" w14:textId="77777777" w:rsidR="005B20AA" w:rsidRPr="005B20AA" w:rsidRDefault="005B20AA" w:rsidP="005B20AA">
      <w:pPr>
        <w:widowControl w:val="0"/>
        <w:spacing w:line="276" w:lineRule="auto"/>
        <w:ind w:left="170" w:right="170"/>
        <w:jc w:val="both"/>
        <w:rPr>
          <w:rFonts w:ascii="Arial" w:eastAsiaTheme="minorHAnsi" w:hAnsi="Arial" w:cs="Arial"/>
          <w:noProof w:val="0"/>
          <w:color w:val="000000"/>
          <w:position w:val="0"/>
          <w:sz w:val="20"/>
          <w:szCs w:val="20"/>
        </w:rPr>
      </w:pPr>
    </w:p>
    <w:p w14:paraId="757A2202" w14:textId="77777777" w:rsidR="005B20AA" w:rsidRPr="005B20AA" w:rsidRDefault="005B20AA" w:rsidP="005B20AA">
      <w:pPr>
        <w:widowControl w:val="0"/>
        <w:spacing w:line="276" w:lineRule="auto"/>
        <w:ind w:left="170" w:right="170"/>
        <w:jc w:val="both"/>
        <w:rPr>
          <w:rFonts w:ascii="Arial" w:eastAsiaTheme="minorHAnsi" w:hAnsi="Arial" w:cs="Arial"/>
          <w:noProof w:val="0"/>
          <w:color w:val="000000"/>
          <w:position w:val="0"/>
          <w:sz w:val="20"/>
          <w:szCs w:val="20"/>
        </w:rPr>
      </w:pPr>
      <w:r w:rsidRPr="005B20AA">
        <w:rPr>
          <w:rFonts w:ascii="Arial" w:eastAsiaTheme="minorHAnsi" w:hAnsi="Arial" w:cs="Arial"/>
          <w:noProof w:val="0"/>
          <w:color w:val="000000"/>
          <w:position w:val="0"/>
          <w:sz w:val="20"/>
          <w:szCs w:val="20"/>
        </w:rPr>
        <w:t>Bu açıklamalardan da anlaşılacağı üzere, Bankanızca emeklilik yatırım fonlarına ait mevduat hesaplarına ödenen faizler üzerinden vergi tevkifatı yapılmayacaktır.</w:t>
      </w:r>
    </w:p>
    <w:p w14:paraId="6977994A" w14:textId="77777777" w:rsidR="005B20AA" w:rsidRPr="005B20AA" w:rsidRDefault="005B20AA" w:rsidP="005B20AA">
      <w:pPr>
        <w:widowControl w:val="0"/>
        <w:spacing w:line="276" w:lineRule="auto"/>
        <w:ind w:left="170" w:right="170"/>
        <w:jc w:val="both"/>
        <w:rPr>
          <w:rFonts w:ascii="Arial" w:eastAsiaTheme="minorHAnsi" w:hAnsi="Arial" w:cs="Arial"/>
          <w:noProof w:val="0"/>
          <w:color w:val="000000"/>
          <w:position w:val="0"/>
          <w:sz w:val="20"/>
          <w:szCs w:val="20"/>
        </w:rPr>
      </w:pPr>
    </w:p>
    <w:p w14:paraId="2C40A1BF" w14:textId="77777777" w:rsidR="005B20AA" w:rsidRPr="005B20AA" w:rsidRDefault="005B20AA" w:rsidP="005B20AA">
      <w:pPr>
        <w:widowControl w:val="0"/>
        <w:spacing w:line="276" w:lineRule="auto"/>
        <w:ind w:left="170" w:right="170"/>
        <w:jc w:val="both"/>
        <w:rPr>
          <w:rFonts w:ascii="Arial" w:eastAsiaTheme="minorHAnsi" w:hAnsi="Arial" w:cs="Arial"/>
          <w:noProof w:val="0"/>
          <w:color w:val="000000"/>
          <w:position w:val="0"/>
          <w:sz w:val="20"/>
          <w:szCs w:val="20"/>
        </w:rPr>
      </w:pPr>
      <w:r w:rsidRPr="005B20AA">
        <w:rPr>
          <w:rFonts w:ascii="Arial" w:eastAsiaTheme="minorHAnsi" w:hAnsi="Arial" w:cs="Arial"/>
          <w:noProof w:val="0"/>
          <w:color w:val="000000"/>
          <w:position w:val="0"/>
          <w:sz w:val="20"/>
          <w:szCs w:val="20"/>
        </w:rPr>
        <w:t>Bilgi edinilmesini rica ederim.</w:t>
      </w:r>
    </w:p>
    <w:p w14:paraId="624859C7"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5F61E" w14:textId="77777777" w:rsidR="00263F9B" w:rsidRDefault="00263F9B" w:rsidP="005B20AA">
      <w:r>
        <w:separator/>
      </w:r>
    </w:p>
  </w:endnote>
  <w:endnote w:type="continuationSeparator" w:id="0">
    <w:p w14:paraId="3EB050D1" w14:textId="77777777" w:rsidR="00263F9B" w:rsidRDefault="00263F9B" w:rsidP="005B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3B40F" w14:textId="011B712F" w:rsidR="005B20AA" w:rsidRPr="005B20AA" w:rsidRDefault="005B20AA" w:rsidP="005B20AA">
    <w:pPr>
      <w:pStyle w:val="AltBilgi"/>
    </w:pPr>
    <w:r>
      <w:rPr>
        <w:rFonts w:ascii="Arial" w:eastAsiaTheme="minorHAnsi" w:hAnsi="Arial" w:cs="Arial"/>
        <w:b/>
        <w:noProof w:val="0"/>
        <w:color w:val="000000"/>
        <w:position w:val="0"/>
        <w:sz w:val="20"/>
        <w:szCs w:val="20"/>
      </w:rPr>
      <w:fldChar w:fldCharType="begin" w:fldLock="1"/>
    </w:r>
    <w:r>
      <w:rPr>
        <w:rFonts w:ascii="Arial" w:eastAsiaTheme="minorHAnsi" w:hAnsi="Arial" w:cs="Arial"/>
        <w:b/>
        <w:noProof w:val="0"/>
        <w:color w:val="000000"/>
        <w:position w:val="0"/>
        <w:sz w:val="20"/>
        <w:szCs w:val="20"/>
      </w:rPr>
      <w:instrText xml:space="preserve"> DOCPROPERTY bjFooterEvenPageDocProperty \* MERGEFORMAT </w:instrText>
    </w:r>
    <w:r>
      <w:rPr>
        <w:rFonts w:ascii="Arial" w:eastAsiaTheme="minorHAnsi" w:hAnsi="Arial" w:cs="Arial"/>
        <w:b/>
        <w:noProof w:val="0"/>
        <w:color w:val="000000"/>
        <w:position w:val="0"/>
        <w:sz w:val="20"/>
        <w:szCs w:val="20"/>
      </w:rPr>
      <w:fldChar w:fldCharType="separate"/>
    </w:r>
    <w:r w:rsidRPr="005B20AA">
      <w:rPr>
        <w:rFonts w:ascii="Malgun Gothic" w:eastAsia="Malgun Gothic" w:hAnsi="Malgun Gothic" w:cs="Arial"/>
        <w:b/>
        <w:bCs/>
        <w:noProof w:val="0"/>
        <w:color w:val="999999"/>
        <w:position w:val="0"/>
        <w:sz w:val="20"/>
        <w:szCs w:val="20"/>
      </w:rPr>
      <w:t>Sınıflandırma|</w:t>
    </w:r>
    <w:r w:rsidRPr="005B20AA">
      <w:rPr>
        <w:rFonts w:ascii="Malgun Gothic" w:eastAsia="Malgun Gothic" w:hAnsi="Malgun Gothic" w:cs="Arial"/>
        <w:b/>
        <w:bCs/>
        <w:noProof w:val="0"/>
        <w:color w:val="339966"/>
        <w:position w:val="0"/>
        <w:sz w:val="20"/>
        <w:szCs w:val="20"/>
      </w:rPr>
      <w:t>Genel</w:t>
    </w:r>
    <w:r>
      <w:rPr>
        <w:rFonts w:ascii="Arial" w:eastAsiaTheme="minorHAnsi" w:hAnsi="Arial" w:cs="Arial"/>
        <w:b/>
        <w:noProof w:val="0"/>
        <w:color w:val="000000"/>
        <w:position w:val="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109F1" w14:textId="2EA94AB4" w:rsidR="005B20AA" w:rsidRPr="005B20AA" w:rsidRDefault="005B20AA" w:rsidP="005B20AA">
    <w:pPr>
      <w:pStyle w:val="AltBilgi"/>
    </w:pPr>
    <w:r>
      <w:rPr>
        <w:rFonts w:ascii="Arial" w:eastAsiaTheme="minorHAnsi" w:hAnsi="Arial" w:cs="Arial"/>
        <w:b/>
        <w:noProof w:val="0"/>
        <w:color w:val="000000"/>
        <w:position w:val="0"/>
        <w:sz w:val="20"/>
        <w:szCs w:val="20"/>
      </w:rPr>
      <w:fldChar w:fldCharType="begin" w:fldLock="1"/>
    </w:r>
    <w:r>
      <w:rPr>
        <w:rFonts w:ascii="Arial" w:eastAsiaTheme="minorHAnsi" w:hAnsi="Arial" w:cs="Arial"/>
        <w:b/>
        <w:noProof w:val="0"/>
        <w:color w:val="000000"/>
        <w:position w:val="0"/>
        <w:sz w:val="20"/>
        <w:szCs w:val="20"/>
      </w:rPr>
      <w:instrText xml:space="preserve"> DOCPROPERTY bjFooterBothDocProperty \* MERGEFORMAT </w:instrText>
    </w:r>
    <w:r>
      <w:rPr>
        <w:rFonts w:ascii="Arial" w:eastAsiaTheme="minorHAnsi" w:hAnsi="Arial" w:cs="Arial"/>
        <w:b/>
        <w:noProof w:val="0"/>
        <w:color w:val="000000"/>
        <w:position w:val="0"/>
        <w:sz w:val="20"/>
        <w:szCs w:val="20"/>
      </w:rPr>
      <w:fldChar w:fldCharType="separate"/>
    </w:r>
    <w:r w:rsidRPr="005B20AA">
      <w:rPr>
        <w:rFonts w:ascii="Malgun Gothic" w:eastAsia="Malgun Gothic" w:hAnsi="Malgun Gothic" w:cs="Arial"/>
        <w:b/>
        <w:bCs/>
        <w:noProof w:val="0"/>
        <w:color w:val="999999"/>
        <w:position w:val="0"/>
        <w:sz w:val="20"/>
        <w:szCs w:val="20"/>
      </w:rPr>
      <w:t>Sınıflandırma|</w:t>
    </w:r>
    <w:r w:rsidRPr="005B20AA">
      <w:rPr>
        <w:rFonts w:ascii="Malgun Gothic" w:eastAsia="Malgun Gothic" w:hAnsi="Malgun Gothic" w:cs="Arial"/>
        <w:b/>
        <w:bCs/>
        <w:noProof w:val="0"/>
        <w:color w:val="339966"/>
        <w:position w:val="0"/>
        <w:sz w:val="20"/>
        <w:szCs w:val="20"/>
      </w:rPr>
      <w:t>Genel</w:t>
    </w:r>
    <w:r>
      <w:rPr>
        <w:rFonts w:ascii="Arial" w:eastAsiaTheme="minorHAnsi" w:hAnsi="Arial" w:cs="Arial"/>
        <w:b/>
        <w:noProof w:val="0"/>
        <w:color w:val="000000"/>
        <w:position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5B774" w14:textId="35BA3220" w:rsidR="005B20AA" w:rsidRPr="005B20AA" w:rsidRDefault="005B20AA" w:rsidP="005B20AA">
    <w:pPr>
      <w:pStyle w:val="AltBilgi"/>
    </w:pPr>
    <w:r>
      <w:rPr>
        <w:rFonts w:ascii="Arial" w:eastAsiaTheme="minorHAnsi" w:hAnsi="Arial" w:cs="Arial"/>
        <w:b/>
        <w:noProof w:val="0"/>
        <w:color w:val="000000"/>
        <w:position w:val="0"/>
        <w:sz w:val="20"/>
        <w:szCs w:val="20"/>
      </w:rPr>
      <w:fldChar w:fldCharType="begin" w:fldLock="1"/>
    </w:r>
    <w:r>
      <w:rPr>
        <w:rFonts w:ascii="Arial" w:eastAsiaTheme="minorHAnsi" w:hAnsi="Arial" w:cs="Arial"/>
        <w:b/>
        <w:noProof w:val="0"/>
        <w:color w:val="000000"/>
        <w:position w:val="0"/>
        <w:sz w:val="20"/>
        <w:szCs w:val="20"/>
      </w:rPr>
      <w:instrText xml:space="preserve"> DOCPROPERTY bjFooterFirstPageDocProperty \* MERGEFORMAT </w:instrText>
    </w:r>
    <w:r>
      <w:rPr>
        <w:rFonts w:ascii="Arial" w:eastAsiaTheme="minorHAnsi" w:hAnsi="Arial" w:cs="Arial"/>
        <w:b/>
        <w:noProof w:val="0"/>
        <w:color w:val="000000"/>
        <w:position w:val="0"/>
        <w:sz w:val="20"/>
        <w:szCs w:val="20"/>
      </w:rPr>
      <w:fldChar w:fldCharType="separate"/>
    </w:r>
    <w:r w:rsidRPr="005B20AA">
      <w:rPr>
        <w:rFonts w:ascii="Malgun Gothic" w:eastAsia="Malgun Gothic" w:hAnsi="Malgun Gothic" w:cs="Arial"/>
        <w:b/>
        <w:bCs/>
        <w:noProof w:val="0"/>
        <w:color w:val="999999"/>
        <w:position w:val="0"/>
        <w:sz w:val="20"/>
        <w:szCs w:val="20"/>
      </w:rPr>
      <w:t>Sınıflandırma|</w:t>
    </w:r>
    <w:r w:rsidRPr="005B20AA">
      <w:rPr>
        <w:rFonts w:ascii="Malgun Gothic" w:eastAsia="Malgun Gothic" w:hAnsi="Malgun Gothic" w:cs="Arial"/>
        <w:b/>
        <w:bCs/>
        <w:noProof w:val="0"/>
        <w:color w:val="339966"/>
        <w:position w:val="0"/>
        <w:sz w:val="20"/>
        <w:szCs w:val="20"/>
      </w:rPr>
      <w:t>Genel</w:t>
    </w:r>
    <w:r>
      <w:rPr>
        <w:rFonts w:ascii="Arial" w:eastAsiaTheme="minorHAnsi" w:hAnsi="Arial" w:cs="Arial"/>
        <w:b/>
        <w:noProof w:val="0"/>
        <w:color w:val="000000"/>
        <w:position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F5DE6" w14:textId="77777777" w:rsidR="00263F9B" w:rsidRDefault="00263F9B" w:rsidP="005B20AA">
      <w:r>
        <w:separator/>
      </w:r>
    </w:p>
  </w:footnote>
  <w:footnote w:type="continuationSeparator" w:id="0">
    <w:p w14:paraId="1E211BB4" w14:textId="77777777" w:rsidR="00263F9B" w:rsidRDefault="00263F9B" w:rsidP="005B2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8E0A5" w14:textId="77777777" w:rsidR="005B20AA" w:rsidRDefault="005B20A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04F8" w14:textId="77777777" w:rsidR="005B20AA" w:rsidRDefault="005B20A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7A561" w14:textId="77777777" w:rsidR="005B20AA" w:rsidRDefault="005B20A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E7"/>
    <w:rsid w:val="00263F9B"/>
    <w:rsid w:val="005B20AA"/>
    <w:rsid w:val="00A174FE"/>
    <w:rsid w:val="00A84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B7D3A"/>
  <w15:chartTrackingRefBased/>
  <w15:docId w15:val="{3F7D8677-E891-489D-8E07-11408C40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0AA"/>
    <w:pPr>
      <w:spacing w:after="0" w:line="240" w:lineRule="auto"/>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unhideWhenUsed/>
    <w:qFormat/>
    <w:rsid w:val="005B20AA"/>
    <w:pPr>
      <w:keepNext/>
      <w:widowControl w:val="0"/>
      <w:ind w:right="170"/>
      <w:jc w:val="center"/>
      <w:outlineLvl w:val="1"/>
    </w:pPr>
    <w:rPr>
      <w:rFonts w:ascii="Arial" w:hAnsi="Arial" w:cs="Arial"/>
      <w:b/>
      <w:bCs/>
      <w:position w:val="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B20AA"/>
    <w:rPr>
      <w:rFonts w:ascii="Arial" w:eastAsia="Times New Roman" w:hAnsi="Arial" w:cs="Arial"/>
      <w:b/>
      <w:bCs/>
      <w:noProof/>
      <w:kern w:val="16"/>
      <w:sz w:val="20"/>
      <w:szCs w:val="20"/>
    </w:rPr>
  </w:style>
  <w:style w:type="character" w:customStyle="1" w:styleId="document-info-data">
    <w:name w:val="document-info-data"/>
    <w:basedOn w:val="VarsaylanParagrafYazTipi"/>
    <w:rsid w:val="005B20AA"/>
  </w:style>
  <w:style w:type="paragraph" w:styleId="stBilgi">
    <w:name w:val="header"/>
    <w:basedOn w:val="Normal"/>
    <w:link w:val="stBilgiChar"/>
    <w:uiPriority w:val="99"/>
    <w:unhideWhenUsed/>
    <w:rsid w:val="005B20AA"/>
    <w:pPr>
      <w:tabs>
        <w:tab w:val="center" w:pos="4536"/>
        <w:tab w:val="right" w:pos="9072"/>
      </w:tabs>
    </w:pPr>
  </w:style>
  <w:style w:type="character" w:customStyle="1" w:styleId="stBilgiChar">
    <w:name w:val="Üst Bilgi Char"/>
    <w:basedOn w:val="VarsaylanParagrafYazTipi"/>
    <w:link w:val="stBilgi"/>
    <w:uiPriority w:val="99"/>
    <w:rsid w:val="005B20AA"/>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5B20AA"/>
    <w:pPr>
      <w:tabs>
        <w:tab w:val="center" w:pos="4536"/>
        <w:tab w:val="right" w:pos="9072"/>
      </w:tabs>
    </w:pPr>
  </w:style>
  <w:style w:type="character" w:customStyle="1" w:styleId="AltBilgiChar">
    <w:name w:val="Alt Bilgi Char"/>
    <w:basedOn w:val="VarsaylanParagrafYazTipi"/>
    <w:link w:val="AltBilgi"/>
    <w:uiPriority w:val="99"/>
    <w:rsid w:val="005B20AA"/>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4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3B517E1B-D269-42BF-8B8F-0A56044FFA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437</Words>
  <Characters>2494</Characters>
  <Application>Microsoft Office Word</Application>
  <DocSecurity>0</DocSecurity>
  <Lines>20</Lines>
  <Paragraphs>5</Paragraphs>
  <ScaleCrop>false</ScaleCrop>
  <Company>Emeklilik Gozetim Merkezi</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2024-01-23T11:32:00Z</dcterms:created>
  <dcterms:modified xsi:type="dcterms:W3CDTF">2024-01-23T11:36:00Z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62d3366d-47f3-48c5-b809-a76be61772c0</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