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C4677" w14:textId="77777777" w:rsidR="00A3702C" w:rsidRPr="00A3702C" w:rsidRDefault="00A3702C" w:rsidP="00A3702C">
      <w:pPr>
        <w:pStyle w:val="Balk2"/>
        <w:spacing w:line="276" w:lineRule="auto"/>
      </w:pPr>
      <w:bookmarkStart w:id="0" w:name="_Hlk134198220"/>
      <w:r w:rsidRPr="00A3702C">
        <w:t xml:space="preserve">ANAYASADA YAPILAN DEĞİŞİKLİKLERE UYUM SAĞLANMASI AMACIYLA BAZI KANUN VE KANUN HÜKMÜNDE KARARNAMELERDE DEĞİŞİKLİK YAPILMASI HAKKINDA KANUN HÜKMÜNDE KARARNAME </w:t>
      </w:r>
      <w:bookmarkEnd w:id="0"/>
    </w:p>
    <w:p w14:paraId="40332B63" w14:textId="045E1841" w:rsidR="00A3702C" w:rsidRDefault="00A3702C" w:rsidP="00A3702C">
      <w:pPr>
        <w:pStyle w:val="Balk2"/>
        <w:spacing w:line="276" w:lineRule="auto"/>
      </w:pPr>
      <w:r w:rsidRPr="00A3702C">
        <w:t>(İlgili Maddeler)</w:t>
      </w:r>
    </w:p>
    <w:p w14:paraId="5D7AC6DA" w14:textId="77777777" w:rsidR="00A3702C" w:rsidRPr="00A3702C" w:rsidRDefault="00A3702C" w:rsidP="00A3702C">
      <w:pPr>
        <w:rPr>
          <w:lang w:eastAsia="tr-TR"/>
        </w:rPr>
      </w:pPr>
    </w:p>
    <w:p w14:paraId="43CAA8AE" w14:textId="0349E9E5" w:rsidR="00A3702C" w:rsidRPr="006A6CC2" w:rsidRDefault="00A3702C" w:rsidP="00A3702C">
      <w:pPr>
        <w:tabs>
          <w:tab w:val="left" w:pos="566"/>
          <w:tab w:val="right" w:pos="7671"/>
        </w:tabs>
        <w:spacing w:line="276" w:lineRule="auto"/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</w:pPr>
      <w:r w:rsidRPr="006A6CC2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</w:rPr>
        <w:tab/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</w:rPr>
        <w:t xml:space="preserve">   </w:t>
      </w:r>
      <w:r w:rsidRPr="006A6CC2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No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:</w:t>
      </w:r>
      <w:r w:rsidRPr="006A6CC2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 xml:space="preserve"> 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700</w:t>
      </w:r>
      <w:r w:rsidRPr="006A6CC2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</w:rPr>
        <w:tab/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</w:rPr>
        <w:t xml:space="preserve">  </w:t>
      </w:r>
      <w:r w:rsidRPr="006A6CC2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 xml:space="preserve">Kabul Tarihi: 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02</w:t>
      </w:r>
      <w:r w:rsidR="00731789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.0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7</w:t>
      </w:r>
      <w:r w:rsidR="00731789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.</w:t>
      </w:r>
      <w:r w:rsidRPr="006A6CC2"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201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8</w:t>
      </w:r>
    </w:p>
    <w:p w14:paraId="2992B932" w14:textId="3139F316" w:rsidR="00A3702C" w:rsidRDefault="00A3702C" w:rsidP="00A3702C">
      <w:pPr>
        <w:spacing w:line="276" w:lineRule="auto"/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</w:pP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</w:rPr>
        <w:tab/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Resmi Gazete Tarihi: 07.07.2018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</w:rPr>
        <w:t xml:space="preserve">                              </w:t>
      </w:r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 xml:space="preserve">Resmi Gazete No: </w:t>
      </w:r>
      <w:bookmarkStart w:id="1" w:name="_GoBack"/>
      <w:r>
        <w:rPr>
          <w:rFonts w:ascii="Arial" w:eastAsia="ヒラギノ明朝 Pro W3" w:hAnsi="Arial" w:cs="Arial"/>
          <w:b/>
          <w:noProof w:val="0"/>
          <w:color w:val="000000"/>
          <w:kern w:val="0"/>
          <w:position w:val="0"/>
          <w:sz w:val="20"/>
          <w:szCs w:val="20"/>
          <w:u w:val="single"/>
        </w:rPr>
        <w:t>30471/2</w:t>
      </w:r>
      <w:bookmarkEnd w:id="1"/>
    </w:p>
    <w:p w14:paraId="031F23F6" w14:textId="77777777" w:rsidR="00A3702C" w:rsidRP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2D098FFB" w14:textId="77777777" w:rsidR="00A3702C" w:rsidRPr="00A3702C" w:rsidRDefault="00A3702C" w:rsidP="00A3702C">
      <w:pPr>
        <w:jc w:val="left"/>
        <w:rPr>
          <w:rFonts w:ascii="Arial" w:hAnsi="Arial" w:cs="Arial"/>
          <w:kern w:val="20"/>
          <w:position w:val="0"/>
          <w:sz w:val="20"/>
          <w:szCs w:val="20"/>
        </w:rPr>
      </w:pPr>
    </w:p>
    <w:p w14:paraId="62E5515F" w14:textId="77777777" w:rsidR="00A3702C" w:rsidRP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A3702C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Anayasada yapılan değişikliklere uyum sağlanması amacıyla bazı kanun ve kanun hükmünde kararnamelerde değişiklik yapılması; 10/5/2018 tarihli ve 7142 sayılı Kanunun verdiği yetkiye dayanılarak, Bakanlar Kurulu’nca 2/7/2018 tarihinde kararlaştırılmıştır.</w:t>
      </w:r>
    </w:p>
    <w:p w14:paraId="126F8467" w14:textId="77777777" w:rsidR="00A3702C" w:rsidRP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5B37238E" w14:textId="77777777" w:rsidR="00A3702C" w:rsidRP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A3702C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131</w:t>
      </w:r>
    </w:p>
    <w:p w14:paraId="6D5BEB01" w14:textId="77777777" w:rsidR="00A3702C" w:rsidRP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A3702C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28/3/2001 tarihli ve 4632 sayılı Bireysel Emeklilik Tasarruf ve Yatırım Sistemi Kanununun;</w:t>
      </w:r>
    </w:p>
    <w:p w14:paraId="7A537F32" w14:textId="77777777" w:rsidR="00A3702C" w:rsidRP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A3702C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a) 3 üncü maddesinin birinci fıkrasının ikinci ve üçüncü cümleleri yürürlükten kaldırılmıştır.</w:t>
      </w:r>
    </w:p>
    <w:p w14:paraId="7043887D" w14:textId="77777777" w:rsidR="00A3702C" w:rsidRP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A3702C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b) Ek 2 nci maddesinin birinci, ikinci, üçüncü ve beşinci fıkralarında yer alan “Bakanlar Kurulu” ibareleri “Cumhurbaşkanı” şeklinde değiştirilmiştir.</w:t>
      </w:r>
    </w:p>
    <w:p w14:paraId="69D80FD4" w14:textId="77777777" w:rsidR="00A3702C" w:rsidRP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20E431ED" w14:textId="77777777" w:rsidR="00A3702C" w:rsidRP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A3702C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182</w:t>
      </w:r>
    </w:p>
    <w:p w14:paraId="6D5C18E0" w14:textId="77777777" w:rsidR="00A3702C" w:rsidRP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A3702C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3/6/2007 tarihli ve 5684 sayılı Sigortacılık Kanununun;</w:t>
      </w:r>
    </w:p>
    <w:p w14:paraId="01334A08" w14:textId="77777777" w:rsidR="00A3702C" w:rsidRP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A3702C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a) 3 üncü maddesinin beşinci fıkrasında yer alan “Bakanlar Kurulu” ibaresi “Cumhurbaşkanı” şeklinde değiştirilmiştir.</w:t>
      </w:r>
    </w:p>
    <w:p w14:paraId="27ABC3BD" w14:textId="77777777" w:rsidR="00A3702C" w:rsidRP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A3702C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b) 13 üncü maddesinin birinci fıkrasında yer alan “Bakanlar Kurulu” ibaresi “Cumhurbaşkanı” şeklinde değiştirilmiştir.</w:t>
      </w:r>
    </w:p>
    <w:p w14:paraId="0380F14C" w14:textId="77777777" w:rsidR="00A3702C" w:rsidRP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A3702C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c) 14 üncü maddesinin ikinci fıkrasında yer alan “Bakanlar Kurulu” ibaresi “Cumhurbaşkanı” şeklinde değiştirilmiştir.</w:t>
      </w:r>
    </w:p>
    <w:p w14:paraId="04B5A21A" w14:textId="77777777" w:rsidR="00A3702C" w:rsidRP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A3702C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ç) 15 inci maddesinin üçüncü fıkrasında yer alan “Bakanlar Kurulu” ibaresi “Cumhurbaşkanı” şeklinde değiştirilmiştir.</w:t>
      </w:r>
    </w:p>
    <w:p w14:paraId="47188517" w14:textId="77777777" w:rsidR="00A3702C" w:rsidRP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A3702C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d) 22 nci maddesinin üçüncü fıkrasında yer alan “Bakanlar Kurulu” ibaresi “Cumhurbaşkanı” şeklinde değiştirilmiştir.</w:t>
      </w:r>
    </w:p>
    <w:p w14:paraId="12B6AA0C" w14:textId="77777777" w:rsidR="00A3702C" w:rsidRP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A3702C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e) 23 üncü maddesinin onbirinci fıkrasında yer alan “Bakanlar Kurulu” ibaresi “Cumhurbaşkanı” şeklinde değiştirilmiştir.</w:t>
      </w:r>
    </w:p>
    <w:p w14:paraId="04A652B3" w14:textId="77777777" w:rsidR="00A3702C" w:rsidRP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A3702C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f) 24 üncü maddesinin birinci fıkrasında yer alan “Bakanlar Kurulu” ibaresi “Cumhurbaşkanı” şeklinde değiştirilmiştir.</w:t>
      </w:r>
    </w:p>
    <w:p w14:paraId="7BBF4350" w14:textId="77777777" w:rsidR="00A3702C" w:rsidRP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A3702C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g) 33/A maddesinin ikinci fıkrasında yer alan “Bakanlar Kurulu” ibaresi “Cumhurbaşkanı” şeklinde, üçüncü fıkrasında yer alan “Başbakanlığın” ibaresi “Cumhurbaşkanlığının” şeklinde değiştirilmiştir.</w:t>
      </w:r>
    </w:p>
    <w:p w14:paraId="73864D4B" w14:textId="77777777" w:rsidR="00A3702C" w:rsidRP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A3702C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ğ) 34 üncü maddesinin ikinci fıkrasının (j) bendinde yer alan “Bakanlar Kurulu” ibaresi “Cumhurbaşkanı” şeklinde değiştirilmiştir.</w:t>
      </w:r>
    </w:p>
    <w:p w14:paraId="12461154" w14:textId="77777777" w:rsid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0250328E" w14:textId="28D519A8" w:rsidR="00A3702C" w:rsidRP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A3702C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217</w:t>
      </w:r>
    </w:p>
    <w:p w14:paraId="59B0323F" w14:textId="77777777" w:rsidR="00A3702C" w:rsidRP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A3702C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Bu Kanun Hükmünde Kararname hükümleri, 24/6/2018 tarihinde birlikte yapılan Türkiye Büyük Millet Meclisi ve Cumhurbaşkanlığı seçimleri sonucunda Cumhurbaşkanının andiçerek göreve başladığı tarihte yürürlüğe girer.</w:t>
      </w:r>
    </w:p>
    <w:p w14:paraId="769DA1E2" w14:textId="77777777" w:rsid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p w14:paraId="578491B9" w14:textId="251375DF" w:rsidR="00A3702C" w:rsidRP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A3702C">
        <w:rPr>
          <w:rFonts w:ascii="Arial" w:eastAsiaTheme="minorHAnsi" w:hAnsi="Arial" w:cs="Arial"/>
          <w:b/>
          <w:noProof w:val="0"/>
          <w:color w:val="000000"/>
          <w:kern w:val="0"/>
          <w:position w:val="0"/>
          <w:sz w:val="20"/>
          <w:szCs w:val="20"/>
          <w:lang w:eastAsia="tr-TR"/>
        </w:rPr>
        <w:t>MADDE 218</w:t>
      </w:r>
    </w:p>
    <w:p w14:paraId="13D75A33" w14:textId="77777777" w:rsidR="00A3702C" w:rsidRPr="00A3702C" w:rsidRDefault="00A3702C" w:rsidP="00A3702C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  <w:r w:rsidRPr="00A3702C"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  <w:t>Bu Kanun Hükmünde Kararname hükümlerini Bakanlar Kurulu yürütür.</w:t>
      </w:r>
    </w:p>
    <w:p w14:paraId="2D047914" w14:textId="77777777" w:rsidR="00626E7B" w:rsidRPr="00A3702C" w:rsidRDefault="00626E7B" w:rsidP="00A3702C">
      <w:pPr>
        <w:spacing w:line="276" w:lineRule="auto"/>
        <w:ind w:left="170"/>
        <w:rPr>
          <w:rFonts w:ascii="Arial" w:eastAsiaTheme="minorHAnsi" w:hAnsi="Arial" w:cs="Arial"/>
          <w:noProof w:val="0"/>
          <w:color w:val="000000"/>
          <w:kern w:val="0"/>
          <w:position w:val="0"/>
          <w:sz w:val="20"/>
          <w:szCs w:val="20"/>
          <w:lang w:eastAsia="tr-TR"/>
        </w:rPr>
      </w:pPr>
    </w:p>
    <w:sectPr w:rsidR="00626E7B" w:rsidRPr="00A370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67188" w14:textId="77777777" w:rsidR="00A3702C" w:rsidRDefault="00A3702C" w:rsidP="00A3702C">
      <w:r>
        <w:separator/>
      </w:r>
    </w:p>
  </w:endnote>
  <w:endnote w:type="continuationSeparator" w:id="0">
    <w:p w14:paraId="45CD1B3A" w14:textId="77777777" w:rsidR="00A3702C" w:rsidRDefault="00A3702C" w:rsidP="00A3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7366A" w14:textId="4D0BD621" w:rsidR="00A3702C" w:rsidRPr="00ED4CF6" w:rsidRDefault="00ED4CF6" w:rsidP="00ED4CF6">
    <w:pPr>
      <w:pStyle w:val="AltBilgi"/>
      <w:jc w:val="left"/>
    </w:pP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begin" w:fldLock="1"/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instrText xml:space="preserve"> DOCPROPERTY bjFooterEvenPageDocProperty \* MERGEFORMAT </w:instrText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separate"/>
    </w:r>
    <w:r w:rsidRPr="006A6CC2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6A6CC2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E6B13" w14:textId="284CF836" w:rsidR="00A3702C" w:rsidRPr="00ED4CF6" w:rsidRDefault="00ED4CF6" w:rsidP="00ED4CF6">
    <w:pPr>
      <w:pStyle w:val="AltBilgi"/>
      <w:jc w:val="left"/>
    </w:pP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begin" w:fldLock="1"/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instrText xml:space="preserve"> DOCPROPERTY bjFooterBothDocProperty \* MERGEFORMAT </w:instrText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separate"/>
    </w:r>
    <w:r w:rsidRPr="006A6CC2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6A6CC2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F75BF" w14:textId="0D349D1C" w:rsidR="00A3702C" w:rsidRPr="00ED4CF6" w:rsidRDefault="00ED4CF6" w:rsidP="00ED4CF6">
    <w:pPr>
      <w:pStyle w:val="AltBilgi"/>
      <w:jc w:val="left"/>
    </w:pP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begin" w:fldLock="1"/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instrText xml:space="preserve"> DOCPROPERTY bjFooterFirstPageDocProperty \* MERGEFORMAT </w:instrText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separate"/>
    </w:r>
    <w:r w:rsidRPr="006A6CC2">
      <w:rPr>
        <w:rFonts w:ascii="Malgun Gothic" w:eastAsia="Malgun Gothic" w:hAnsi="Malgun Gothic" w:cs="Arial"/>
        <w:b/>
        <w:bCs/>
        <w:noProof w:val="0"/>
        <w:color w:val="999999"/>
        <w:kern w:val="0"/>
        <w:position w:val="0"/>
        <w:sz w:val="20"/>
        <w:szCs w:val="20"/>
        <w:lang w:eastAsia="tr-TR"/>
      </w:rPr>
      <w:t>Sınıflandırma|</w:t>
    </w:r>
    <w:r w:rsidRPr="006A6CC2">
      <w:rPr>
        <w:rFonts w:ascii="Malgun Gothic" w:eastAsia="Malgun Gothic" w:hAnsi="Malgun Gothic" w:cs="Arial"/>
        <w:b/>
        <w:bCs/>
        <w:noProof w:val="0"/>
        <w:color w:val="339966"/>
        <w:kern w:val="0"/>
        <w:position w:val="0"/>
        <w:sz w:val="20"/>
        <w:szCs w:val="20"/>
        <w:lang w:eastAsia="tr-TR"/>
      </w:rPr>
      <w:t>Genel</w:t>
    </w:r>
    <w:r>
      <w:rPr>
        <w:rFonts w:ascii="Arial" w:eastAsiaTheme="minorHAnsi" w:hAnsi="Arial" w:cs="Arial"/>
        <w:noProof w:val="0"/>
        <w:color w:val="000000"/>
        <w:kern w:val="0"/>
        <w:position w:val="0"/>
        <w:sz w:val="20"/>
        <w:szCs w:val="20"/>
        <w:lang w:eastAsia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23227" w14:textId="77777777" w:rsidR="00A3702C" w:rsidRDefault="00A3702C" w:rsidP="00A3702C">
      <w:r>
        <w:separator/>
      </w:r>
    </w:p>
  </w:footnote>
  <w:footnote w:type="continuationSeparator" w:id="0">
    <w:p w14:paraId="16B2C9C8" w14:textId="77777777" w:rsidR="00A3702C" w:rsidRDefault="00A3702C" w:rsidP="00A37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27C5" w14:textId="77777777" w:rsidR="00A3702C" w:rsidRDefault="00A370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393CD" w14:textId="77777777" w:rsidR="00A3702C" w:rsidRDefault="00A3702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12C93" w14:textId="77777777" w:rsidR="00A3702C" w:rsidRDefault="00A3702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5E"/>
    <w:rsid w:val="00626E7B"/>
    <w:rsid w:val="00731789"/>
    <w:rsid w:val="00A3702C"/>
    <w:rsid w:val="00A5375E"/>
    <w:rsid w:val="00ED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AC10E5"/>
  <w15:chartTrackingRefBased/>
  <w15:docId w15:val="{CBEDEDB1-15F2-45B8-A749-426726D9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02C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A3702C"/>
    <w:pPr>
      <w:keepNext/>
      <w:widowControl w:val="0"/>
      <w:spacing w:line="260" w:lineRule="atLeast"/>
      <w:ind w:right="17"/>
      <w:jc w:val="center"/>
      <w:outlineLvl w:val="1"/>
    </w:pPr>
    <w:rPr>
      <w:rFonts w:ascii="Arial" w:eastAsia="Cambria" w:hAnsi="Arial" w:cs="Arial"/>
      <w:b/>
      <w:bCs/>
      <w:position w:val="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3702C"/>
    <w:rPr>
      <w:rFonts w:ascii="Arial" w:eastAsia="Cambria" w:hAnsi="Arial" w:cs="Arial"/>
      <w:b/>
      <w:bCs/>
      <w:noProof/>
      <w:kern w:val="16"/>
      <w:sz w:val="24"/>
      <w:szCs w:val="24"/>
      <w:lang w:eastAsia="tr-TR"/>
    </w:rPr>
  </w:style>
  <w:style w:type="paragraph" w:customStyle="1" w:styleId="article-paragraph">
    <w:name w:val="article-paragraph"/>
    <w:basedOn w:val="Normal"/>
    <w:uiPriority w:val="99"/>
    <w:rsid w:val="00A3702C"/>
    <w:pPr>
      <w:spacing w:before="100" w:beforeAutospacing="1" w:after="100" w:afterAutospacing="1"/>
    </w:pPr>
    <w:rPr>
      <w:rFonts w:eastAsiaTheme="minorEastAsia"/>
      <w:noProof w:val="0"/>
      <w:kern w:val="0"/>
      <w:position w:val="0"/>
      <w:lang w:eastAsia="tr-TR"/>
    </w:rPr>
  </w:style>
  <w:style w:type="paragraph" w:customStyle="1" w:styleId="article-alinea">
    <w:name w:val="article-alinea"/>
    <w:basedOn w:val="Normal"/>
    <w:uiPriority w:val="99"/>
    <w:rsid w:val="00A3702C"/>
    <w:pPr>
      <w:spacing w:before="100" w:beforeAutospacing="1" w:after="100" w:afterAutospacing="1"/>
    </w:pPr>
    <w:rPr>
      <w:rFonts w:eastAsiaTheme="minorEastAsia"/>
      <w:noProof w:val="0"/>
      <w:kern w:val="0"/>
      <w:position w:val="0"/>
      <w:lang w:eastAsia="tr-TR"/>
    </w:rPr>
  </w:style>
  <w:style w:type="character" w:customStyle="1" w:styleId="document-info-label">
    <w:name w:val="document-info-label"/>
    <w:basedOn w:val="VarsaylanParagrafYazTipi"/>
    <w:rsid w:val="00A3702C"/>
  </w:style>
  <w:style w:type="character" w:customStyle="1" w:styleId="document-info-data">
    <w:name w:val="document-info-data"/>
    <w:basedOn w:val="VarsaylanParagrafYazTipi"/>
    <w:rsid w:val="00A3702C"/>
  </w:style>
  <w:style w:type="paragraph" w:styleId="stBilgi">
    <w:name w:val="header"/>
    <w:basedOn w:val="Normal"/>
    <w:link w:val="stBilgiChar"/>
    <w:uiPriority w:val="99"/>
    <w:unhideWhenUsed/>
    <w:rsid w:val="00A370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3702C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A370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3702C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5A775FEA-E652-4EAF-85CB-12ACF47D4D9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Emeklilik Gozetim Merkezi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3</cp:revision>
  <cp:lastPrinted>2023-05-05T15:16:00Z</cp:lastPrinted>
  <dcterms:created xsi:type="dcterms:W3CDTF">2023-05-05T13:58:00Z</dcterms:created>
  <dcterms:modified xsi:type="dcterms:W3CDTF">2023-05-05T15:16:00Z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02363e81-b74d-451c-a6aa-63877fe80426</vt:lpwstr>
  </property>
  <property fmtid="{D5CDD505-2E9C-101B-9397-08002B2CF9AE}" pid="3" name="bjSaver">
    <vt:lpwstr>iZryUG4O9W7v4YkSJ4oIH8Eo71bnL+pl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