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08FEE4" w14:textId="77777777" w:rsidR="006854DE" w:rsidRPr="001D7EEF" w:rsidRDefault="006854DE" w:rsidP="006854DE">
      <w:pPr>
        <w:widowControl w:val="0"/>
        <w:autoSpaceDE w:val="0"/>
        <w:autoSpaceDN w:val="0"/>
        <w:adjustRightInd w:val="0"/>
        <w:spacing w:after="0" w:line="240" w:lineRule="auto"/>
        <w:ind w:left="170" w:right="170"/>
        <w:rPr>
          <w:b/>
          <w:bCs/>
          <w:sz w:val="20"/>
          <w:u w:val="single"/>
        </w:rPr>
      </w:pPr>
      <w:r w:rsidRPr="001D7EEF">
        <w:rPr>
          <w:b/>
          <w:bCs/>
          <w:sz w:val="20"/>
          <w:u w:val="single"/>
        </w:rPr>
        <w:t>Resmi Gazete Dışından Kaynak</w:t>
      </w:r>
    </w:p>
    <w:p w14:paraId="452716BE" w14:textId="5573F0D5" w:rsidR="006854DE" w:rsidRPr="000E3656" w:rsidRDefault="00354A98" w:rsidP="00354A98">
      <w:pPr>
        <w:widowControl w:val="0"/>
        <w:autoSpaceDE w:val="0"/>
        <w:autoSpaceDN w:val="0"/>
        <w:adjustRightInd w:val="0"/>
        <w:spacing w:after="0" w:line="240" w:lineRule="auto"/>
        <w:ind w:left="170" w:right="170"/>
        <w:rPr>
          <w:b/>
          <w:bCs/>
          <w:sz w:val="20"/>
          <w:u w:val="single"/>
        </w:rPr>
      </w:pPr>
      <w:r w:rsidRPr="00354A98">
        <w:rPr>
          <w:b/>
          <w:bCs/>
          <w:sz w:val="20"/>
          <w:u w:val="single"/>
        </w:rPr>
        <w:t>Sigortacılık ve Özel Emeklilik Düzenleme ve Denetleme Kurumundan</w:t>
      </w:r>
      <w:r>
        <w:rPr>
          <w:b/>
          <w:bCs/>
          <w:sz w:val="20"/>
          <w:u w:val="single"/>
        </w:rPr>
        <w:tab/>
      </w:r>
      <w:r w:rsidR="000E3656">
        <w:rPr>
          <w:b/>
          <w:bCs/>
          <w:sz w:val="20"/>
        </w:rPr>
        <w:tab/>
      </w:r>
      <w:r w:rsidR="00ED3B2E">
        <w:rPr>
          <w:b/>
          <w:bCs/>
          <w:sz w:val="20"/>
          <w:u w:val="single"/>
        </w:rPr>
        <w:t>18</w:t>
      </w:r>
      <w:r w:rsidR="000E3656">
        <w:rPr>
          <w:b/>
          <w:bCs/>
          <w:sz w:val="20"/>
          <w:u w:val="single"/>
        </w:rPr>
        <w:t>.0</w:t>
      </w:r>
      <w:r w:rsidR="00796995">
        <w:rPr>
          <w:b/>
          <w:bCs/>
          <w:sz w:val="20"/>
          <w:u w:val="single"/>
        </w:rPr>
        <w:t>1</w:t>
      </w:r>
      <w:r w:rsidR="000E3656">
        <w:rPr>
          <w:b/>
          <w:bCs/>
          <w:sz w:val="20"/>
          <w:u w:val="single"/>
        </w:rPr>
        <w:t>.20</w:t>
      </w:r>
      <w:r>
        <w:rPr>
          <w:b/>
          <w:bCs/>
          <w:sz w:val="20"/>
          <w:u w:val="single"/>
        </w:rPr>
        <w:t>24</w:t>
      </w:r>
    </w:p>
    <w:p w14:paraId="07A04D6B" w14:textId="77777777" w:rsidR="00CD5880" w:rsidRPr="00DB777E" w:rsidRDefault="00CD5880" w:rsidP="006854DE">
      <w:pPr>
        <w:widowControl w:val="0"/>
        <w:autoSpaceDE w:val="0"/>
        <w:autoSpaceDN w:val="0"/>
        <w:adjustRightInd w:val="0"/>
        <w:spacing w:after="0" w:line="240" w:lineRule="auto"/>
        <w:ind w:left="170" w:right="170"/>
        <w:rPr>
          <w:b/>
          <w:bCs/>
          <w:sz w:val="20"/>
          <w:u w:val="single"/>
        </w:rPr>
      </w:pPr>
    </w:p>
    <w:p w14:paraId="795B45AD" w14:textId="77777777" w:rsidR="00ED3B2E" w:rsidRPr="00ED3B2E" w:rsidRDefault="00ED3B2E" w:rsidP="00ED3B2E">
      <w:pPr>
        <w:spacing w:after="0"/>
        <w:jc w:val="center"/>
        <w:rPr>
          <w:b/>
          <w:sz w:val="24"/>
          <w:szCs w:val="24"/>
        </w:rPr>
      </w:pPr>
      <w:r w:rsidRPr="00ED3B2E">
        <w:rPr>
          <w:b/>
          <w:sz w:val="24"/>
          <w:szCs w:val="24"/>
        </w:rPr>
        <w:t>SİGORTACILIK VE ÖZEL EMEKLİLİK SEKTÖRLERİNDE</w:t>
      </w:r>
    </w:p>
    <w:p w14:paraId="3D8CEF97" w14:textId="77777777" w:rsidR="00ED3B2E" w:rsidRPr="00ED3B2E" w:rsidRDefault="00ED3B2E" w:rsidP="00ED3B2E">
      <w:pPr>
        <w:spacing w:after="0"/>
        <w:jc w:val="center"/>
        <w:rPr>
          <w:b/>
          <w:sz w:val="24"/>
          <w:szCs w:val="24"/>
        </w:rPr>
      </w:pPr>
      <w:r w:rsidRPr="00ED3B2E">
        <w:rPr>
          <w:b/>
          <w:sz w:val="24"/>
          <w:szCs w:val="24"/>
        </w:rPr>
        <w:t>İÇ SİSTEMLERE DAİR YÖNETMELİK KAPSAMINDA HAZIRLANACAK YÖNETİM BEYANINA İLİŞKİN GENELGE</w:t>
      </w:r>
    </w:p>
    <w:p w14:paraId="25EC0E97" w14:textId="62D04381" w:rsidR="00CD5880" w:rsidRPr="00CD5880" w:rsidRDefault="00ED3B2E" w:rsidP="00ED3B2E">
      <w:pPr>
        <w:spacing w:after="0"/>
        <w:jc w:val="center"/>
      </w:pPr>
      <w:r w:rsidRPr="00ED3B2E">
        <w:rPr>
          <w:b/>
          <w:sz w:val="24"/>
          <w:szCs w:val="24"/>
        </w:rPr>
        <w:t>(2024/5)</w:t>
      </w:r>
    </w:p>
    <w:p w14:paraId="23417704" w14:textId="22582107" w:rsidR="00491D7E" w:rsidRDefault="00491D7E" w:rsidP="00ED3B2E">
      <w:pPr>
        <w:widowControl w:val="0"/>
        <w:spacing w:after="0"/>
        <w:ind w:left="170" w:right="170"/>
        <w:rPr>
          <w:rFonts w:eastAsiaTheme="minorHAnsi"/>
          <w:color w:val="000000"/>
          <w:kern w:val="16"/>
          <w:sz w:val="20"/>
          <w:lang w:eastAsia="en-US"/>
        </w:rPr>
      </w:pPr>
    </w:p>
    <w:p w14:paraId="41FC6AB5" w14:textId="3CA66A5D" w:rsidR="00491D7E" w:rsidRPr="00796995" w:rsidRDefault="00491D7E" w:rsidP="00796995">
      <w:pPr>
        <w:widowControl w:val="0"/>
        <w:spacing w:after="0"/>
        <w:ind w:left="170" w:right="170"/>
        <w:jc w:val="both"/>
        <w:rPr>
          <w:rFonts w:eastAsiaTheme="minorHAnsi"/>
          <w:b/>
          <w:color w:val="000000"/>
          <w:kern w:val="16"/>
          <w:sz w:val="20"/>
          <w:lang w:eastAsia="en-US"/>
        </w:rPr>
      </w:pPr>
      <w:r w:rsidRPr="00796995">
        <w:rPr>
          <w:rFonts w:eastAsiaTheme="minorHAnsi"/>
          <w:b/>
          <w:color w:val="000000"/>
          <w:kern w:val="16"/>
          <w:sz w:val="20"/>
          <w:lang w:eastAsia="en-US"/>
        </w:rPr>
        <w:t>Amaç</w:t>
      </w:r>
      <w:r w:rsidR="00ED3B2E">
        <w:rPr>
          <w:rFonts w:eastAsiaTheme="minorHAnsi"/>
          <w:b/>
          <w:color w:val="000000"/>
          <w:kern w:val="16"/>
          <w:sz w:val="20"/>
          <w:lang w:eastAsia="en-US"/>
        </w:rPr>
        <w:t xml:space="preserve"> ve Kapsam</w:t>
      </w:r>
    </w:p>
    <w:p w14:paraId="2F180FE6" w14:textId="4B0D0D4F" w:rsidR="00ED3B2E" w:rsidRPr="00ED3B2E" w:rsidRDefault="00491D7E" w:rsidP="00ED3B2E">
      <w:pPr>
        <w:widowControl w:val="0"/>
        <w:spacing w:after="0"/>
        <w:ind w:left="170" w:right="170"/>
        <w:jc w:val="both"/>
        <w:rPr>
          <w:rFonts w:eastAsiaTheme="minorHAnsi"/>
          <w:color w:val="000000"/>
          <w:kern w:val="16"/>
          <w:sz w:val="20"/>
          <w:lang w:eastAsia="en-US"/>
        </w:rPr>
      </w:pPr>
      <w:r w:rsidRPr="00796995">
        <w:rPr>
          <w:rFonts w:eastAsiaTheme="minorHAnsi"/>
          <w:b/>
          <w:color w:val="000000"/>
          <w:kern w:val="16"/>
          <w:sz w:val="20"/>
          <w:lang w:eastAsia="en-US"/>
        </w:rPr>
        <w:t>MADDE 1-</w:t>
      </w:r>
      <w:r w:rsidRPr="00796995">
        <w:rPr>
          <w:rFonts w:eastAsiaTheme="minorHAnsi"/>
          <w:color w:val="000000"/>
          <w:kern w:val="16"/>
          <w:sz w:val="20"/>
          <w:lang w:eastAsia="en-US"/>
        </w:rPr>
        <w:t xml:space="preserve"> </w:t>
      </w:r>
      <w:r w:rsidR="00ED3B2E" w:rsidRPr="00ED3B2E">
        <w:rPr>
          <w:rFonts w:eastAsiaTheme="minorHAnsi"/>
          <w:color w:val="000000"/>
          <w:kern w:val="16"/>
          <w:sz w:val="20"/>
          <w:lang w:eastAsia="en-US"/>
        </w:rPr>
        <w:t>(1) Bu genelgenin amacı, 25/11/2021 tarihli ve 31670 sayılı Resmî Gazete ‘de yayımlanan Sigortacılık ve Özel Emeklilik Sektörler</w:t>
      </w:r>
      <w:bookmarkStart w:id="0" w:name="_GoBack"/>
      <w:bookmarkEnd w:id="0"/>
      <w:r w:rsidR="00ED3B2E" w:rsidRPr="00ED3B2E">
        <w:rPr>
          <w:rFonts w:eastAsiaTheme="minorHAnsi"/>
          <w:color w:val="000000"/>
          <w:kern w:val="16"/>
          <w:sz w:val="20"/>
          <w:lang w:eastAsia="en-US"/>
        </w:rPr>
        <w:t>inde İç Sistemlere Dair Yönetmelik (Yönetmelik) kapsamında kuruluş iç sistemleri hakkında bağımsız denetçiye güvence veren kuruluş yönetim kurulu tarafından sunulması gereken yönetim beyanına ilişkin usul ve esasları belirlemektir.</w:t>
      </w:r>
    </w:p>
    <w:p w14:paraId="0B96809E" w14:textId="4926B2EF" w:rsidR="00491D7E" w:rsidRPr="00796995" w:rsidRDefault="00ED3B2E" w:rsidP="00ED3B2E">
      <w:pPr>
        <w:widowControl w:val="0"/>
        <w:spacing w:after="0"/>
        <w:ind w:left="170" w:right="170"/>
        <w:jc w:val="both"/>
        <w:rPr>
          <w:rFonts w:eastAsiaTheme="minorHAnsi"/>
          <w:color w:val="000000"/>
          <w:kern w:val="16"/>
          <w:sz w:val="20"/>
          <w:lang w:eastAsia="en-US"/>
        </w:rPr>
      </w:pPr>
      <w:r w:rsidRPr="00ED3B2E">
        <w:rPr>
          <w:rFonts w:eastAsiaTheme="minorHAnsi"/>
          <w:color w:val="000000"/>
          <w:kern w:val="16"/>
          <w:sz w:val="20"/>
          <w:lang w:eastAsia="en-US"/>
        </w:rPr>
        <w:t>(2) Bu Genelgede içeriği tespit edilen yönetim beyanı sadece bağımsız denetimde kuruluşun iç sistemlerinin Yönetmelik kapsamında değerlendirilmesine ilişkin olarak düzenlenir.</w:t>
      </w:r>
    </w:p>
    <w:p w14:paraId="76B783E0" w14:textId="77777777" w:rsidR="00491D7E" w:rsidRPr="00796995" w:rsidRDefault="00491D7E" w:rsidP="00796995">
      <w:pPr>
        <w:widowControl w:val="0"/>
        <w:spacing w:after="0"/>
        <w:ind w:left="170" w:right="170"/>
        <w:jc w:val="both"/>
        <w:rPr>
          <w:rFonts w:eastAsiaTheme="minorHAnsi"/>
          <w:color w:val="000000"/>
          <w:kern w:val="16"/>
          <w:sz w:val="20"/>
          <w:lang w:eastAsia="en-US"/>
        </w:rPr>
      </w:pPr>
    </w:p>
    <w:p w14:paraId="338D297F" w14:textId="77777777" w:rsidR="00ED3B2E" w:rsidRPr="00ED3B2E" w:rsidRDefault="00ED3B2E" w:rsidP="00ED3B2E">
      <w:pPr>
        <w:widowControl w:val="0"/>
        <w:spacing w:after="0"/>
        <w:ind w:left="170" w:right="170"/>
        <w:jc w:val="both"/>
        <w:rPr>
          <w:rFonts w:eastAsiaTheme="minorHAnsi"/>
          <w:b/>
          <w:color w:val="000000"/>
          <w:kern w:val="16"/>
          <w:sz w:val="20"/>
          <w:lang w:eastAsia="en-US"/>
        </w:rPr>
      </w:pPr>
      <w:r w:rsidRPr="00ED3B2E">
        <w:rPr>
          <w:rFonts w:eastAsiaTheme="minorHAnsi"/>
          <w:b/>
          <w:color w:val="000000"/>
          <w:kern w:val="16"/>
          <w:sz w:val="20"/>
          <w:lang w:eastAsia="en-US"/>
        </w:rPr>
        <w:t>Dayanak</w:t>
      </w:r>
    </w:p>
    <w:p w14:paraId="27D0DF3A" w14:textId="7FF62D0D" w:rsidR="00491D7E" w:rsidRPr="00796995" w:rsidRDefault="00ED3B2E" w:rsidP="00ED3B2E">
      <w:pPr>
        <w:widowControl w:val="0"/>
        <w:spacing w:after="0"/>
        <w:ind w:left="170" w:right="170"/>
        <w:jc w:val="both"/>
        <w:rPr>
          <w:rFonts w:eastAsiaTheme="minorHAnsi"/>
          <w:color w:val="000000"/>
          <w:kern w:val="16"/>
          <w:sz w:val="20"/>
          <w:lang w:eastAsia="en-US"/>
        </w:rPr>
      </w:pPr>
      <w:r w:rsidRPr="00ED3B2E">
        <w:rPr>
          <w:rFonts w:eastAsiaTheme="minorHAnsi"/>
          <w:b/>
          <w:color w:val="000000"/>
          <w:kern w:val="16"/>
          <w:sz w:val="20"/>
          <w:lang w:eastAsia="en-US"/>
        </w:rPr>
        <w:t xml:space="preserve">MADDE 2- </w:t>
      </w:r>
      <w:r w:rsidRPr="00ED3B2E">
        <w:rPr>
          <w:rFonts w:eastAsiaTheme="minorHAnsi"/>
          <w:color w:val="000000"/>
          <w:kern w:val="16"/>
          <w:sz w:val="20"/>
          <w:lang w:eastAsia="en-US"/>
        </w:rPr>
        <w:t>(1) Bu Genelge, Sigortacılık ve Özel Emeklilik Sektörlerinde İç Sistemlere Dair Yönetmeliğin 5'inci maddesinin üçüncü fıkrasına dayanılarak hazırlanmıştır.</w:t>
      </w:r>
    </w:p>
    <w:p w14:paraId="131085E5" w14:textId="77777777" w:rsidR="00491D7E" w:rsidRPr="00796995" w:rsidRDefault="00491D7E" w:rsidP="00796995">
      <w:pPr>
        <w:widowControl w:val="0"/>
        <w:spacing w:after="0"/>
        <w:ind w:left="170" w:right="170"/>
        <w:jc w:val="both"/>
        <w:rPr>
          <w:rFonts w:eastAsiaTheme="minorHAnsi"/>
          <w:color w:val="000000"/>
          <w:kern w:val="16"/>
          <w:sz w:val="20"/>
          <w:lang w:eastAsia="en-US"/>
        </w:rPr>
      </w:pPr>
    </w:p>
    <w:p w14:paraId="085B5413" w14:textId="77777777" w:rsidR="00ED3B2E" w:rsidRPr="00ED3B2E" w:rsidRDefault="00ED3B2E" w:rsidP="00ED3B2E">
      <w:pPr>
        <w:widowControl w:val="0"/>
        <w:spacing w:after="0"/>
        <w:ind w:left="170" w:right="170"/>
        <w:jc w:val="both"/>
        <w:rPr>
          <w:rFonts w:eastAsiaTheme="minorHAnsi"/>
          <w:b/>
          <w:color w:val="000000"/>
          <w:kern w:val="16"/>
          <w:sz w:val="20"/>
          <w:lang w:eastAsia="en-US"/>
        </w:rPr>
      </w:pPr>
      <w:r w:rsidRPr="00ED3B2E">
        <w:rPr>
          <w:rFonts w:eastAsiaTheme="minorHAnsi"/>
          <w:b/>
          <w:color w:val="000000"/>
          <w:kern w:val="16"/>
          <w:sz w:val="20"/>
          <w:lang w:eastAsia="en-US"/>
        </w:rPr>
        <w:t>Yönetim Beyanının İçeriği</w:t>
      </w:r>
    </w:p>
    <w:p w14:paraId="7ACDE67D" w14:textId="77777777" w:rsidR="00ED3B2E" w:rsidRPr="00ED3B2E" w:rsidRDefault="00ED3B2E" w:rsidP="00ED3B2E">
      <w:pPr>
        <w:widowControl w:val="0"/>
        <w:spacing w:after="0"/>
        <w:ind w:left="170" w:right="170"/>
        <w:jc w:val="both"/>
        <w:rPr>
          <w:rFonts w:eastAsiaTheme="minorHAnsi"/>
          <w:color w:val="000000"/>
          <w:kern w:val="16"/>
          <w:sz w:val="20"/>
          <w:lang w:eastAsia="en-US"/>
        </w:rPr>
      </w:pPr>
      <w:r w:rsidRPr="00ED3B2E">
        <w:rPr>
          <w:rFonts w:eastAsiaTheme="minorHAnsi"/>
          <w:b/>
          <w:color w:val="000000"/>
          <w:kern w:val="16"/>
          <w:sz w:val="20"/>
          <w:lang w:eastAsia="en-US"/>
        </w:rPr>
        <w:t xml:space="preserve">MADDE 3- </w:t>
      </w:r>
      <w:r w:rsidRPr="00ED3B2E">
        <w:rPr>
          <w:rFonts w:eastAsiaTheme="minorHAnsi"/>
          <w:color w:val="000000"/>
          <w:kern w:val="16"/>
          <w:sz w:val="20"/>
          <w:lang w:eastAsia="en-US"/>
        </w:rPr>
        <w:t>(1) Yönetim Kurulu tarafından yönetim beyanında asgari olarak bu maddede sayılan hususlar açık ve kesin ifadelerle beyan edilir:</w:t>
      </w:r>
    </w:p>
    <w:p w14:paraId="4810474A" w14:textId="77777777" w:rsidR="00ED3B2E" w:rsidRPr="00ED3B2E" w:rsidRDefault="00ED3B2E" w:rsidP="00ED3B2E">
      <w:pPr>
        <w:widowControl w:val="0"/>
        <w:spacing w:after="0"/>
        <w:ind w:left="170" w:right="170"/>
        <w:jc w:val="both"/>
        <w:rPr>
          <w:rFonts w:eastAsiaTheme="minorHAnsi"/>
          <w:color w:val="000000"/>
          <w:kern w:val="16"/>
          <w:sz w:val="20"/>
          <w:lang w:eastAsia="en-US"/>
        </w:rPr>
      </w:pPr>
      <w:r w:rsidRPr="00ED3B2E">
        <w:rPr>
          <w:rFonts w:eastAsiaTheme="minorHAnsi"/>
          <w:color w:val="000000"/>
          <w:kern w:val="16"/>
          <w:sz w:val="20"/>
          <w:lang w:eastAsia="en-US"/>
        </w:rPr>
        <w:t>a)</w:t>
      </w:r>
      <w:r w:rsidRPr="00ED3B2E">
        <w:rPr>
          <w:rFonts w:eastAsiaTheme="minorHAnsi"/>
          <w:color w:val="000000"/>
          <w:kern w:val="16"/>
          <w:sz w:val="20"/>
          <w:lang w:eastAsia="en-US"/>
        </w:rPr>
        <w:tab/>
        <w:t>Kuruluş organizasyonu içerisinde yeterli ve etkin iç sistemler kurulduğu ve tüm fonksiyonlarıyla birlikte işletilmeye devam edildiği,</w:t>
      </w:r>
    </w:p>
    <w:p w14:paraId="338BC1B8" w14:textId="71FB559E" w:rsidR="00ED3B2E" w:rsidRPr="00ED3B2E" w:rsidRDefault="00ED3B2E" w:rsidP="00ED3B2E">
      <w:pPr>
        <w:widowControl w:val="0"/>
        <w:spacing w:after="0"/>
        <w:ind w:left="170" w:right="170"/>
        <w:jc w:val="both"/>
        <w:rPr>
          <w:rFonts w:eastAsiaTheme="minorHAnsi"/>
          <w:color w:val="000000"/>
          <w:kern w:val="16"/>
          <w:sz w:val="20"/>
          <w:lang w:eastAsia="en-US"/>
        </w:rPr>
      </w:pPr>
      <w:r w:rsidRPr="00ED3B2E">
        <w:rPr>
          <w:rFonts w:eastAsiaTheme="minorHAnsi"/>
          <w:color w:val="000000"/>
          <w:kern w:val="16"/>
          <w:sz w:val="20"/>
          <w:lang w:eastAsia="en-US"/>
        </w:rPr>
        <w:t>b)</w:t>
      </w:r>
      <w:r w:rsidRPr="00ED3B2E">
        <w:rPr>
          <w:rFonts w:eastAsiaTheme="minorHAnsi"/>
          <w:color w:val="000000"/>
          <w:kern w:val="16"/>
          <w:sz w:val="20"/>
          <w:lang w:eastAsia="en-US"/>
        </w:rPr>
        <w:tab/>
        <w:t xml:space="preserve">İç sistemler kapsamındaki birim yöneticilerinin ve iç denetim personelinin atandığı, görev, yetki ve sorumluluklarının belirlendiği, birimlerin çalışma usul ve esasları ile birim personellerine ilişkin </w:t>
      </w:r>
      <w:r w:rsidR="00C05696">
        <w:rPr>
          <w:rFonts w:eastAsiaTheme="minorHAnsi"/>
          <w:color w:val="000000"/>
          <w:kern w:val="16"/>
          <w:sz w:val="20"/>
          <w:lang w:eastAsia="en-US"/>
        </w:rPr>
        <w:t>ç</w:t>
      </w:r>
      <w:r w:rsidRPr="00ED3B2E">
        <w:rPr>
          <w:rFonts w:eastAsiaTheme="minorHAnsi"/>
          <w:color w:val="000000"/>
          <w:kern w:val="16"/>
          <w:sz w:val="20"/>
          <w:lang w:eastAsia="en-US"/>
        </w:rPr>
        <w:t>alışma usul ve esaslarının onaylanıp yürürlüğe girdiği,</w:t>
      </w:r>
    </w:p>
    <w:p w14:paraId="13936F89" w14:textId="77777777" w:rsidR="00ED3B2E" w:rsidRPr="00ED3B2E" w:rsidRDefault="00ED3B2E" w:rsidP="00ED3B2E">
      <w:pPr>
        <w:widowControl w:val="0"/>
        <w:spacing w:after="0"/>
        <w:ind w:left="170" w:right="170"/>
        <w:jc w:val="both"/>
        <w:rPr>
          <w:rFonts w:eastAsiaTheme="minorHAnsi"/>
          <w:color w:val="000000"/>
          <w:kern w:val="16"/>
          <w:sz w:val="20"/>
          <w:lang w:eastAsia="en-US"/>
        </w:rPr>
      </w:pPr>
      <w:r w:rsidRPr="00ED3B2E">
        <w:rPr>
          <w:rFonts w:eastAsiaTheme="minorHAnsi"/>
          <w:color w:val="000000"/>
          <w:kern w:val="16"/>
          <w:sz w:val="20"/>
          <w:lang w:eastAsia="en-US"/>
        </w:rPr>
        <w:t>c)</w:t>
      </w:r>
      <w:r w:rsidRPr="00ED3B2E">
        <w:rPr>
          <w:rFonts w:eastAsiaTheme="minorHAnsi"/>
          <w:color w:val="000000"/>
          <w:kern w:val="16"/>
          <w:sz w:val="20"/>
          <w:lang w:eastAsia="en-US"/>
        </w:rPr>
        <w:tab/>
        <w:t>İç sistemlerin oluşturulmasıyla kuruluş içindeki yetki ve sorumlulukların yeniden belirlendiği, bir işlemin yapılmasına karar verilmesi, işlemin kayda alınması veya muhasebeleştirilmesi ile işlemin gerçekleştirilmesinin farklı personellerin sorumluluğuna verildiği,</w:t>
      </w:r>
    </w:p>
    <w:p w14:paraId="1A2A9D62" w14:textId="36DE58B4" w:rsidR="00ED3B2E" w:rsidRPr="00ED3B2E" w:rsidRDefault="00ED3B2E" w:rsidP="00ED3B2E">
      <w:pPr>
        <w:widowControl w:val="0"/>
        <w:spacing w:after="0"/>
        <w:ind w:left="170" w:right="170"/>
        <w:jc w:val="both"/>
        <w:rPr>
          <w:rFonts w:eastAsiaTheme="minorHAnsi"/>
          <w:color w:val="000000"/>
          <w:kern w:val="16"/>
          <w:sz w:val="20"/>
          <w:lang w:eastAsia="en-US"/>
        </w:rPr>
      </w:pPr>
      <w:r w:rsidRPr="00ED3B2E">
        <w:rPr>
          <w:rFonts w:eastAsiaTheme="minorHAnsi"/>
          <w:color w:val="000000"/>
          <w:kern w:val="16"/>
          <w:sz w:val="20"/>
          <w:lang w:eastAsia="en-US"/>
        </w:rPr>
        <w:t>ç)</w:t>
      </w:r>
      <w:r>
        <w:rPr>
          <w:rFonts w:eastAsiaTheme="minorHAnsi"/>
          <w:color w:val="000000"/>
          <w:kern w:val="16"/>
          <w:sz w:val="20"/>
          <w:lang w:eastAsia="en-US"/>
        </w:rPr>
        <w:tab/>
      </w:r>
      <w:r w:rsidRPr="00ED3B2E">
        <w:rPr>
          <w:rFonts w:eastAsiaTheme="minorHAnsi"/>
          <w:color w:val="000000"/>
          <w:kern w:val="16"/>
          <w:sz w:val="20"/>
          <w:lang w:eastAsia="en-US"/>
        </w:rPr>
        <w:t>İç sistemlere ilişkin strateji ve politikalar ile bunların uygulama usullerinin belirlendiği, insan kaynakları ile ilgili yazılı politikalar oluşturulduğu, üst yönetimin atanmasında aranılacak kriterlerin belirlendiği,</w:t>
      </w:r>
    </w:p>
    <w:p w14:paraId="6FE47E6F" w14:textId="77777777" w:rsidR="00ED3B2E" w:rsidRPr="00ED3B2E" w:rsidRDefault="00ED3B2E" w:rsidP="00ED3B2E">
      <w:pPr>
        <w:widowControl w:val="0"/>
        <w:spacing w:after="0"/>
        <w:ind w:left="170" w:right="170"/>
        <w:jc w:val="both"/>
        <w:rPr>
          <w:rFonts w:eastAsiaTheme="minorHAnsi"/>
          <w:color w:val="000000"/>
          <w:kern w:val="16"/>
          <w:sz w:val="20"/>
          <w:lang w:eastAsia="en-US"/>
        </w:rPr>
      </w:pPr>
      <w:r w:rsidRPr="00ED3B2E">
        <w:rPr>
          <w:rFonts w:eastAsiaTheme="minorHAnsi"/>
          <w:color w:val="000000"/>
          <w:kern w:val="16"/>
          <w:sz w:val="20"/>
          <w:lang w:eastAsia="en-US"/>
        </w:rPr>
        <w:t>d)</w:t>
      </w:r>
      <w:r w:rsidRPr="00ED3B2E">
        <w:rPr>
          <w:rFonts w:eastAsiaTheme="minorHAnsi"/>
          <w:color w:val="000000"/>
          <w:kern w:val="16"/>
          <w:sz w:val="20"/>
          <w:lang w:eastAsia="en-US"/>
        </w:rPr>
        <w:tab/>
        <w:t>İç kontrol fonksiyonu kapsamında yapılacak faaliyetlerin icrasına ilişkin kontroller, iletişim sistemleri ve bilgi sistemlerine ilişkin kontroller, uyum kontrolleri ve hizmet alımlarına ilişkin kontrollerin gerçekleştirildiği ve kontroller sonucu tespit edilen eksikliklerin düzeltilmesi kapsamında aksiyonların alındığı,</w:t>
      </w:r>
    </w:p>
    <w:p w14:paraId="2BD34D41" w14:textId="77777777" w:rsidR="00ED3B2E" w:rsidRPr="00ED3B2E" w:rsidRDefault="00ED3B2E" w:rsidP="00ED3B2E">
      <w:pPr>
        <w:widowControl w:val="0"/>
        <w:spacing w:after="0"/>
        <w:ind w:left="170" w:right="170"/>
        <w:jc w:val="both"/>
        <w:rPr>
          <w:rFonts w:eastAsiaTheme="minorHAnsi"/>
          <w:color w:val="000000"/>
          <w:kern w:val="16"/>
          <w:sz w:val="20"/>
          <w:lang w:eastAsia="en-US"/>
        </w:rPr>
      </w:pPr>
      <w:r w:rsidRPr="00ED3B2E">
        <w:rPr>
          <w:rFonts w:eastAsiaTheme="minorHAnsi"/>
          <w:color w:val="000000"/>
          <w:kern w:val="16"/>
          <w:sz w:val="20"/>
          <w:lang w:eastAsia="en-US"/>
        </w:rPr>
        <w:t>e)</w:t>
      </w:r>
      <w:r w:rsidRPr="00ED3B2E">
        <w:rPr>
          <w:rFonts w:eastAsiaTheme="minorHAnsi"/>
          <w:color w:val="000000"/>
          <w:kern w:val="16"/>
          <w:sz w:val="20"/>
          <w:lang w:eastAsia="en-US"/>
        </w:rPr>
        <w:tab/>
        <w:t>İç denetim fonksiyonu kapsamında iç denetçilere görev ve sorumluluklarını etkin bir şekilde yerine getirebilmeleri için tüm bölüm ve birimlerde inisiyatif kullanabilecek, tüm personelden bilgi alabilecek ve tüm kayıt, dosya ve verilere ulaşabilecek yetki tanındığı,</w:t>
      </w:r>
    </w:p>
    <w:p w14:paraId="1801BD37" w14:textId="77777777" w:rsidR="00ED3B2E" w:rsidRDefault="00ED3B2E" w:rsidP="00ED3B2E">
      <w:pPr>
        <w:widowControl w:val="0"/>
        <w:spacing w:after="0"/>
        <w:ind w:left="170" w:right="170"/>
        <w:jc w:val="both"/>
        <w:rPr>
          <w:rFonts w:eastAsiaTheme="minorHAnsi"/>
          <w:color w:val="000000"/>
          <w:kern w:val="16"/>
          <w:sz w:val="20"/>
          <w:lang w:eastAsia="en-US"/>
        </w:rPr>
      </w:pPr>
      <w:r w:rsidRPr="00ED3B2E">
        <w:rPr>
          <w:rFonts w:eastAsiaTheme="minorHAnsi"/>
          <w:color w:val="000000"/>
          <w:kern w:val="16"/>
          <w:sz w:val="20"/>
          <w:lang w:eastAsia="en-US"/>
        </w:rPr>
        <w:t>f)</w:t>
      </w:r>
      <w:r w:rsidRPr="00ED3B2E">
        <w:rPr>
          <w:rFonts w:eastAsiaTheme="minorHAnsi"/>
          <w:color w:val="000000"/>
          <w:kern w:val="16"/>
          <w:sz w:val="20"/>
          <w:lang w:eastAsia="en-US"/>
        </w:rPr>
        <w:tab/>
        <w:t>Risk değerlendirmelerine dayalı ve yıllık olarak hazırlanan iç denetim planlarının onaylanarak yürürlüğe konulduğu,</w:t>
      </w:r>
    </w:p>
    <w:p w14:paraId="14011E53" w14:textId="4635C635" w:rsidR="00ED3B2E" w:rsidRPr="00ED3B2E" w:rsidRDefault="00ED3B2E" w:rsidP="00ED3B2E">
      <w:pPr>
        <w:widowControl w:val="0"/>
        <w:spacing w:after="0"/>
        <w:ind w:left="170" w:right="170"/>
        <w:jc w:val="both"/>
        <w:rPr>
          <w:rFonts w:eastAsiaTheme="minorHAnsi"/>
          <w:color w:val="000000"/>
          <w:kern w:val="16"/>
          <w:sz w:val="20"/>
          <w:lang w:eastAsia="en-US"/>
        </w:rPr>
      </w:pPr>
      <w:r w:rsidRPr="00ED3B2E">
        <w:rPr>
          <w:rFonts w:eastAsiaTheme="minorHAnsi"/>
          <w:color w:val="000000"/>
          <w:kern w:val="16"/>
          <w:sz w:val="20"/>
          <w:lang w:eastAsia="en-US"/>
        </w:rPr>
        <w:t>g)</w:t>
      </w:r>
      <w:r w:rsidRPr="00ED3B2E">
        <w:rPr>
          <w:rFonts w:eastAsiaTheme="minorHAnsi"/>
          <w:color w:val="000000"/>
          <w:kern w:val="16"/>
          <w:sz w:val="20"/>
          <w:lang w:eastAsia="en-US"/>
        </w:rPr>
        <w:tab/>
        <w:t>Kuruluşun faaliyetlerinden kaynaklı risklerin yönetilebilmesi için risk yönetim birimi ve ilgili birimler tarafından genel ve her bir risk türü itibarıyla konsolide ve konsolide olmayan bazda her bir risk türüne ilişkin politika ve stratejiler hazırlandığı,</w:t>
      </w:r>
    </w:p>
    <w:p w14:paraId="09F50BCE" w14:textId="37F78FF1" w:rsidR="00ED3B2E" w:rsidRPr="00ED3B2E" w:rsidRDefault="00ED3B2E" w:rsidP="00ED3B2E">
      <w:pPr>
        <w:widowControl w:val="0"/>
        <w:spacing w:after="0"/>
        <w:ind w:left="170" w:right="170"/>
        <w:jc w:val="both"/>
        <w:rPr>
          <w:rFonts w:eastAsiaTheme="minorHAnsi"/>
          <w:color w:val="000000"/>
          <w:kern w:val="16"/>
          <w:sz w:val="20"/>
          <w:lang w:eastAsia="en-US"/>
        </w:rPr>
      </w:pPr>
      <w:r w:rsidRPr="00ED3B2E">
        <w:rPr>
          <w:rFonts w:eastAsiaTheme="minorHAnsi"/>
          <w:color w:val="000000"/>
          <w:kern w:val="16"/>
          <w:sz w:val="20"/>
          <w:lang w:eastAsia="en-US"/>
        </w:rPr>
        <w:t>ğ)</w:t>
      </w:r>
      <w:r>
        <w:rPr>
          <w:rFonts w:eastAsiaTheme="minorHAnsi"/>
          <w:color w:val="000000"/>
          <w:kern w:val="16"/>
          <w:sz w:val="20"/>
          <w:lang w:eastAsia="en-US"/>
        </w:rPr>
        <w:tab/>
      </w:r>
      <w:r w:rsidRPr="00ED3B2E">
        <w:rPr>
          <w:rFonts w:eastAsiaTheme="minorHAnsi"/>
          <w:color w:val="000000"/>
          <w:kern w:val="16"/>
          <w:sz w:val="20"/>
          <w:lang w:eastAsia="en-US"/>
        </w:rPr>
        <w:t>Üst düzey yöneticiler itibarıyla azami risk limitlerinin tahsis edildiği,</w:t>
      </w:r>
    </w:p>
    <w:p w14:paraId="18D2936A" w14:textId="77777777" w:rsidR="00ED3B2E" w:rsidRPr="00ED3B2E" w:rsidRDefault="00ED3B2E" w:rsidP="00ED3B2E">
      <w:pPr>
        <w:widowControl w:val="0"/>
        <w:spacing w:after="0"/>
        <w:ind w:left="170" w:right="170"/>
        <w:jc w:val="both"/>
        <w:rPr>
          <w:rFonts w:eastAsiaTheme="minorHAnsi"/>
          <w:color w:val="000000"/>
          <w:kern w:val="16"/>
          <w:sz w:val="20"/>
          <w:lang w:eastAsia="en-US"/>
        </w:rPr>
      </w:pPr>
      <w:r w:rsidRPr="00ED3B2E">
        <w:rPr>
          <w:rFonts w:eastAsiaTheme="minorHAnsi"/>
          <w:color w:val="000000"/>
          <w:kern w:val="16"/>
          <w:sz w:val="20"/>
          <w:lang w:eastAsia="en-US"/>
        </w:rPr>
        <w:t>h)</w:t>
      </w:r>
      <w:r w:rsidRPr="00ED3B2E">
        <w:rPr>
          <w:rFonts w:eastAsiaTheme="minorHAnsi"/>
          <w:color w:val="000000"/>
          <w:kern w:val="16"/>
          <w:sz w:val="20"/>
          <w:lang w:eastAsia="en-US"/>
        </w:rPr>
        <w:tab/>
        <w:t>Faaliyetlerin etkin, güvenilir ve kesintisiz bir şekilde yönetilmesini, mevzuattan kaynaklanan yükümlülüklerin yerine getirilmesini, muhasebe ve finansal raporlama ile ana faaliyetlerin yürütüldüğü sistemlerden sağlanan bilgilerin bütünlüğünü, tutarlılığını, güvenilirliğini, zamanında elde edilebilirliğini ve gereken durumlarda gizliğini sağlayan bilgi sistemleri ve iş süreçlerinin tesis edildiği,</w:t>
      </w:r>
    </w:p>
    <w:p w14:paraId="616DF81D" w14:textId="46C35896" w:rsidR="00ED3B2E" w:rsidRPr="00ED3B2E" w:rsidRDefault="00ED3B2E" w:rsidP="00ED3B2E">
      <w:pPr>
        <w:widowControl w:val="0"/>
        <w:spacing w:after="0"/>
        <w:ind w:left="170" w:right="170"/>
        <w:jc w:val="both"/>
        <w:rPr>
          <w:rFonts w:eastAsiaTheme="minorHAnsi"/>
          <w:color w:val="000000"/>
          <w:kern w:val="16"/>
          <w:sz w:val="20"/>
          <w:lang w:eastAsia="en-US"/>
        </w:rPr>
      </w:pPr>
      <w:r w:rsidRPr="00ED3B2E">
        <w:rPr>
          <w:rFonts w:eastAsiaTheme="minorHAnsi"/>
          <w:color w:val="000000"/>
          <w:kern w:val="16"/>
          <w:sz w:val="20"/>
          <w:lang w:eastAsia="en-US"/>
        </w:rPr>
        <w:lastRenderedPageBreak/>
        <w:t>ı)</w:t>
      </w:r>
      <w:r>
        <w:rPr>
          <w:rFonts w:eastAsiaTheme="minorHAnsi"/>
          <w:color w:val="000000"/>
          <w:kern w:val="16"/>
          <w:sz w:val="20"/>
          <w:lang w:eastAsia="en-US"/>
        </w:rPr>
        <w:tab/>
      </w:r>
      <w:r w:rsidRPr="00ED3B2E">
        <w:rPr>
          <w:rFonts w:eastAsiaTheme="minorHAnsi"/>
          <w:color w:val="000000"/>
          <w:kern w:val="16"/>
          <w:sz w:val="20"/>
          <w:lang w:eastAsia="en-US"/>
        </w:rPr>
        <w:t>İş sürekliliği yönetim yapısının tesis edildiği ve bu kapsamda iş sürekliliği planının, onaylanarak yürürlüğe konulduğu,</w:t>
      </w:r>
    </w:p>
    <w:p w14:paraId="52D449A0" w14:textId="77777777" w:rsidR="00ED3B2E" w:rsidRPr="00ED3B2E" w:rsidRDefault="00ED3B2E" w:rsidP="00ED3B2E">
      <w:pPr>
        <w:widowControl w:val="0"/>
        <w:spacing w:after="0"/>
        <w:ind w:left="170" w:right="170"/>
        <w:jc w:val="both"/>
        <w:rPr>
          <w:rFonts w:eastAsiaTheme="minorHAnsi"/>
          <w:color w:val="000000"/>
          <w:kern w:val="16"/>
          <w:sz w:val="20"/>
          <w:lang w:eastAsia="en-US"/>
        </w:rPr>
      </w:pPr>
      <w:r w:rsidRPr="00ED3B2E">
        <w:rPr>
          <w:rFonts w:eastAsiaTheme="minorHAnsi"/>
          <w:color w:val="000000"/>
          <w:kern w:val="16"/>
          <w:sz w:val="20"/>
          <w:lang w:eastAsia="en-US"/>
        </w:rPr>
        <w:t>i)</w:t>
      </w:r>
      <w:r w:rsidRPr="00ED3B2E">
        <w:rPr>
          <w:rFonts w:eastAsiaTheme="minorHAnsi"/>
          <w:color w:val="000000"/>
          <w:kern w:val="16"/>
          <w:sz w:val="20"/>
          <w:lang w:eastAsia="en-US"/>
        </w:rPr>
        <w:tab/>
        <w:t>Organizasyon yapısı içinde bilginin, bilgi güvenliği dahilinde ilgili tüm kişilere ulaştırılması ve kuruluşun amaçları, stratejileri, politikaları, uygulama usulleri ve beklentileri hakkında ilgili birim yöneticilerinin ve operasyonda görevli personelin bilgi sahibi olmasının sağlandığı, Kuruluş personelinin karşılaştığı problemleri ve mutat uygulamalara göre şüpheli gördükleri hususları ilgili birimlere, yönetim kademelerine, iç kontrol birimine, iç denetim birimine veya denetim komitesine gizlice raporlayabilmesi için uygun iletişim kanallarının tesis edildiği,</w:t>
      </w:r>
    </w:p>
    <w:p w14:paraId="351957D7" w14:textId="5F2A67E7" w:rsidR="00ED3B2E" w:rsidRPr="00ED3B2E" w:rsidRDefault="00ED3B2E" w:rsidP="00ED3B2E">
      <w:pPr>
        <w:widowControl w:val="0"/>
        <w:spacing w:after="0"/>
        <w:ind w:left="170" w:right="170"/>
        <w:jc w:val="both"/>
        <w:rPr>
          <w:rFonts w:eastAsiaTheme="minorHAnsi"/>
          <w:color w:val="000000"/>
          <w:kern w:val="16"/>
          <w:sz w:val="20"/>
          <w:lang w:eastAsia="en-US"/>
        </w:rPr>
      </w:pPr>
      <w:r w:rsidRPr="00ED3B2E">
        <w:rPr>
          <w:rFonts w:eastAsiaTheme="minorHAnsi"/>
          <w:color w:val="000000"/>
          <w:kern w:val="16"/>
          <w:sz w:val="20"/>
          <w:lang w:eastAsia="en-US"/>
        </w:rPr>
        <w:t>j)</w:t>
      </w:r>
      <w:r w:rsidRPr="00ED3B2E">
        <w:rPr>
          <w:rFonts w:eastAsiaTheme="minorHAnsi"/>
          <w:color w:val="000000"/>
          <w:kern w:val="16"/>
          <w:sz w:val="20"/>
          <w:lang w:eastAsia="en-US"/>
        </w:rPr>
        <w:tab/>
        <w:t xml:space="preserve">Hak sahiplerinin şikayetlerinin ve uyuşmazlıkların incelenerek sonucu hakkında hak sahiplerine, ilgililere veya Kuruma zamanında ve doğru cevap verilmesini sağlayacak sistemler geliştirildiği; </w:t>
      </w:r>
      <w:r w:rsidR="00C05696">
        <w:rPr>
          <w:rFonts w:eastAsiaTheme="minorHAnsi"/>
          <w:color w:val="000000"/>
          <w:kern w:val="16"/>
          <w:sz w:val="20"/>
          <w:lang w:eastAsia="en-US"/>
        </w:rPr>
        <w:t>ş</w:t>
      </w:r>
      <w:r w:rsidRPr="00ED3B2E">
        <w:rPr>
          <w:rFonts w:eastAsiaTheme="minorHAnsi"/>
          <w:color w:val="000000"/>
          <w:kern w:val="16"/>
          <w:sz w:val="20"/>
          <w:lang w:eastAsia="en-US"/>
        </w:rPr>
        <w:t>ikayet ve uyuşmazlıkların belirlenecek içerik ve formatta yönetim kuruluna düzenli olarak raporlanmasının sağlandığı ve şikayetlerle ilgili gerekli tedbirler alındığı,</w:t>
      </w:r>
    </w:p>
    <w:p w14:paraId="284BAF58" w14:textId="77777777" w:rsidR="00ED3B2E" w:rsidRPr="00ED3B2E" w:rsidRDefault="00ED3B2E" w:rsidP="00ED3B2E">
      <w:pPr>
        <w:widowControl w:val="0"/>
        <w:spacing w:after="0"/>
        <w:ind w:left="170" w:right="170"/>
        <w:jc w:val="both"/>
        <w:rPr>
          <w:rFonts w:eastAsiaTheme="minorHAnsi"/>
          <w:color w:val="000000"/>
          <w:kern w:val="16"/>
          <w:sz w:val="20"/>
          <w:lang w:eastAsia="en-US"/>
        </w:rPr>
      </w:pPr>
      <w:r w:rsidRPr="00ED3B2E">
        <w:rPr>
          <w:rFonts w:eastAsiaTheme="minorHAnsi"/>
          <w:color w:val="000000"/>
          <w:kern w:val="16"/>
          <w:sz w:val="20"/>
          <w:lang w:eastAsia="en-US"/>
        </w:rPr>
        <w:t>k)</w:t>
      </w:r>
      <w:r w:rsidRPr="00ED3B2E">
        <w:rPr>
          <w:rFonts w:eastAsiaTheme="minorHAnsi"/>
          <w:color w:val="000000"/>
          <w:kern w:val="16"/>
          <w:sz w:val="20"/>
          <w:lang w:eastAsia="en-US"/>
        </w:rPr>
        <w:tab/>
        <w:t>Acentelerin, temsilciliklerin ve dışarıdan hizmet alımı yoluyla temin edilen hizmetlerin gözetiminin yapıldığı, gözetim kapsamında hizmet alımlarının mevzuata uygunluğunun ve hizmet sağlayıcısından beklenen iş sürekliliğine ilişkin gerekliliklerin sağlandığı.</w:t>
      </w:r>
    </w:p>
    <w:p w14:paraId="67A8C824" w14:textId="67849158" w:rsidR="0010660D" w:rsidRDefault="00ED3B2E" w:rsidP="00ED3B2E">
      <w:pPr>
        <w:widowControl w:val="0"/>
        <w:spacing w:after="0"/>
        <w:ind w:left="170" w:right="170"/>
        <w:jc w:val="both"/>
        <w:rPr>
          <w:rFonts w:eastAsiaTheme="minorHAnsi"/>
          <w:color w:val="000000"/>
          <w:kern w:val="16"/>
          <w:sz w:val="20"/>
          <w:lang w:eastAsia="en-US"/>
        </w:rPr>
      </w:pPr>
      <w:r w:rsidRPr="00ED3B2E">
        <w:rPr>
          <w:rFonts w:eastAsiaTheme="minorHAnsi"/>
          <w:color w:val="000000"/>
          <w:kern w:val="16"/>
          <w:sz w:val="20"/>
          <w:lang w:eastAsia="en-US"/>
        </w:rPr>
        <w:t>(2) Düzenlenecek yönetim beyanı cari denetim dönemine ilişkin yürütülen çalışmalar ve değerlendirmeler kapsamında oluşturulur. Bu bağlamda esas alınacak dönem 1 O</w:t>
      </w:r>
      <w:r w:rsidR="00C05696">
        <w:rPr>
          <w:rFonts w:eastAsiaTheme="minorHAnsi"/>
          <w:color w:val="000000"/>
          <w:kern w:val="16"/>
          <w:sz w:val="20"/>
          <w:lang w:eastAsia="en-US"/>
        </w:rPr>
        <w:t>c</w:t>
      </w:r>
      <w:r w:rsidRPr="00ED3B2E">
        <w:rPr>
          <w:rFonts w:eastAsiaTheme="minorHAnsi"/>
          <w:color w:val="000000"/>
          <w:kern w:val="16"/>
          <w:sz w:val="20"/>
          <w:lang w:eastAsia="en-US"/>
        </w:rPr>
        <w:t>ak - 31 Aralık dönemi olup, yönetim kurulu bu dönemin sonu itibarıyla, bağımsız denetim raporu tarihi ile uyumlu olarak beyanda bulunur.</w:t>
      </w:r>
    </w:p>
    <w:p w14:paraId="0BC4B2E5" w14:textId="77777777" w:rsidR="00ED3B2E" w:rsidRPr="0010660D" w:rsidRDefault="00ED3B2E" w:rsidP="00ED3B2E">
      <w:pPr>
        <w:widowControl w:val="0"/>
        <w:spacing w:after="0"/>
        <w:ind w:left="170" w:right="170"/>
        <w:jc w:val="both"/>
        <w:rPr>
          <w:sz w:val="20"/>
        </w:rPr>
      </w:pPr>
    </w:p>
    <w:p w14:paraId="51130437" w14:textId="77777777" w:rsidR="0010660D" w:rsidRPr="0010660D" w:rsidRDefault="0010660D" w:rsidP="0010660D">
      <w:pPr>
        <w:widowControl w:val="0"/>
        <w:spacing w:after="0"/>
        <w:ind w:left="170" w:right="170"/>
        <w:jc w:val="both"/>
        <w:rPr>
          <w:b/>
          <w:sz w:val="20"/>
        </w:rPr>
      </w:pPr>
      <w:r w:rsidRPr="0010660D">
        <w:rPr>
          <w:b/>
          <w:sz w:val="20"/>
        </w:rPr>
        <w:t>Yürürlük</w:t>
      </w:r>
    </w:p>
    <w:p w14:paraId="6195847A" w14:textId="63C8C471" w:rsidR="0010660D" w:rsidRPr="0010660D" w:rsidRDefault="0010660D" w:rsidP="0010660D">
      <w:pPr>
        <w:widowControl w:val="0"/>
        <w:spacing w:after="0"/>
        <w:ind w:left="170" w:right="170"/>
        <w:jc w:val="both"/>
        <w:rPr>
          <w:sz w:val="20"/>
        </w:rPr>
      </w:pPr>
      <w:r w:rsidRPr="0010660D">
        <w:rPr>
          <w:b/>
          <w:sz w:val="20"/>
        </w:rPr>
        <w:t>MADDE 4-</w:t>
      </w:r>
      <w:r w:rsidRPr="0010660D">
        <w:rPr>
          <w:sz w:val="20"/>
        </w:rPr>
        <w:t xml:space="preserve"> </w:t>
      </w:r>
      <w:r w:rsidR="00ED3B2E" w:rsidRPr="00ED3B2E">
        <w:rPr>
          <w:sz w:val="20"/>
        </w:rPr>
        <w:t>Bu Genelge yayımı tarihinde yürürlüğe girer</w:t>
      </w:r>
      <w:r w:rsidR="00C05696">
        <w:rPr>
          <w:sz w:val="20"/>
        </w:rPr>
        <w:t>.</w:t>
      </w:r>
    </w:p>
    <w:p w14:paraId="400815A3" w14:textId="77777777" w:rsidR="0010660D" w:rsidRPr="0010660D" w:rsidRDefault="0010660D" w:rsidP="0010660D">
      <w:pPr>
        <w:widowControl w:val="0"/>
        <w:spacing w:after="0"/>
        <w:ind w:left="170" w:right="170"/>
        <w:jc w:val="both"/>
        <w:rPr>
          <w:sz w:val="20"/>
        </w:rPr>
      </w:pPr>
    </w:p>
    <w:p w14:paraId="1132D57A" w14:textId="77777777" w:rsidR="0010660D" w:rsidRPr="0010660D" w:rsidRDefault="0010660D" w:rsidP="0010660D">
      <w:pPr>
        <w:widowControl w:val="0"/>
        <w:spacing w:after="0"/>
        <w:ind w:left="170" w:right="170"/>
        <w:jc w:val="both"/>
        <w:rPr>
          <w:b/>
          <w:sz w:val="20"/>
        </w:rPr>
      </w:pPr>
      <w:r w:rsidRPr="0010660D">
        <w:rPr>
          <w:b/>
          <w:sz w:val="20"/>
        </w:rPr>
        <w:t>Yürütme</w:t>
      </w:r>
    </w:p>
    <w:p w14:paraId="170A47D0" w14:textId="77081933" w:rsidR="00491D7E" w:rsidRPr="0010660D" w:rsidRDefault="0010660D" w:rsidP="0010660D">
      <w:pPr>
        <w:widowControl w:val="0"/>
        <w:spacing w:after="0"/>
        <w:ind w:left="170" w:right="170"/>
        <w:jc w:val="both"/>
        <w:rPr>
          <w:sz w:val="20"/>
        </w:rPr>
      </w:pPr>
      <w:r w:rsidRPr="0010660D">
        <w:rPr>
          <w:b/>
          <w:sz w:val="20"/>
        </w:rPr>
        <w:t>MADDE 5-</w:t>
      </w:r>
      <w:r w:rsidR="00ED3B2E" w:rsidRPr="00ED3B2E">
        <w:t xml:space="preserve"> </w:t>
      </w:r>
      <w:r w:rsidR="00ED3B2E" w:rsidRPr="00ED3B2E">
        <w:rPr>
          <w:sz w:val="20"/>
        </w:rPr>
        <w:t>Bu Genelge hükümlerini Sigortacılık ve Özel Emeklilik Düzenleme ve Denetleme Kurumu Başkanı yürütür.</w:t>
      </w:r>
    </w:p>
    <w:p w14:paraId="2264050A" w14:textId="734BE4B8" w:rsidR="00491D7E" w:rsidRDefault="00491D7E" w:rsidP="00491D7E">
      <w:pPr>
        <w:widowControl w:val="0"/>
        <w:spacing w:after="0"/>
        <w:ind w:left="170" w:right="170"/>
        <w:jc w:val="both"/>
        <w:rPr>
          <w:b/>
          <w:sz w:val="20"/>
        </w:rPr>
      </w:pPr>
    </w:p>
    <w:p w14:paraId="41924C4C" w14:textId="77777777" w:rsidR="0010660D" w:rsidRPr="00A27FC1" w:rsidRDefault="0010660D" w:rsidP="00491D7E">
      <w:pPr>
        <w:widowControl w:val="0"/>
        <w:spacing w:after="0"/>
        <w:ind w:left="170" w:right="170"/>
        <w:jc w:val="both"/>
        <w:rPr>
          <w:b/>
          <w:sz w:val="20"/>
        </w:rPr>
      </w:pPr>
    </w:p>
    <w:tbl>
      <w:tblPr>
        <w:tblStyle w:val="TableGrid"/>
        <w:tblW w:w="0" w:type="auto"/>
        <w:tblInd w:w="0" w:type="dxa"/>
        <w:tblLook w:val="04A0" w:firstRow="1" w:lastRow="0" w:firstColumn="1" w:lastColumn="0" w:noHBand="0" w:noVBand="1"/>
      </w:tblPr>
      <w:tblGrid>
        <w:gridCol w:w="3016"/>
        <w:gridCol w:w="3019"/>
        <w:gridCol w:w="3021"/>
      </w:tblGrid>
      <w:tr w:rsidR="006854DE" w14:paraId="127BD41C" w14:textId="77777777" w:rsidTr="00491D7E">
        <w:trPr>
          <w:trHeight w:val="289"/>
        </w:trPr>
        <w:tc>
          <w:tcPr>
            <w:tcW w:w="9056" w:type="dxa"/>
            <w:gridSpan w:val="3"/>
          </w:tcPr>
          <w:p w14:paraId="1E1B258A" w14:textId="77777777" w:rsidR="006854DE" w:rsidRPr="006854DE" w:rsidRDefault="006854DE" w:rsidP="00467BD5">
            <w:pPr>
              <w:jc w:val="center"/>
              <w:rPr>
                <w:b/>
                <w:sz w:val="20"/>
              </w:rPr>
            </w:pPr>
            <w:r w:rsidRPr="006854DE">
              <w:rPr>
                <w:b/>
                <w:sz w:val="20"/>
              </w:rPr>
              <w:t>Genelge’nin</w:t>
            </w:r>
          </w:p>
        </w:tc>
      </w:tr>
      <w:tr w:rsidR="006854DE" w14:paraId="4F38D770" w14:textId="77777777" w:rsidTr="00491D7E">
        <w:trPr>
          <w:trHeight w:val="289"/>
        </w:trPr>
        <w:tc>
          <w:tcPr>
            <w:tcW w:w="3016" w:type="dxa"/>
          </w:tcPr>
          <w:p w14:paraId="3384F9C2" w14:textId="77777777" w:rsidR="006854DE" w:rsidRPr="006854DE" w:rsidRDefault="006854DE" w:rsidP="00467BD5">
            <w:pPr>
              <w:spacing w:after="0" w:line="240" w:lineRule="auto"/>
              <w:jc w:val="center"/>
              <w:rPr>
                <w:b/>
                <w:sz w:val="20"/>
              </w:rPr>
            </w:pPr>
            <w:r w:rsidRPr="006854DE">
              <w:rPr>
                <w:b/>
                <w:sz w:val="20"/>
              </w:rPr>
              <w:t>Numarası</w:t>
            </w:r>
          </w:p>
        </w:tc>
        <w:tc>
          <w:tcPr>
            <w:tcW w:w="3019" w:type="dxa"/>
          </w:tcPr>
          <w:p w14:paraId="0F6E5B2D" w14:textId="77777777" w:rsidR="006854DE" w:rsidRPr="006854DE" w:rsidRDefault="006854DE" w:rsidP="00467BD5">
            <w:pPr>
              <w:spacing w:after="0" w:line="240" w:lineRule="auto"/>
              <w:jc w:val="center"/>
              <w:rPr>
                <w:b/>
                <w:sz w:val="20"/>
              </w:rPr>
            </w:pPr>
            <w:r w:rsidRPr="006854DE">
              <w:rPr>
                <w:b/>
                <w:sz w:val="20"/>
              </w:rPr>
              <w:t>Kabul Tarihi</w:t>
            </w:r>
          </w:p>
        </w:tc>
        <w:tc>
          <w:tcPr>
            <w:tcW w:w="3021" w:type="dxa"/>
          </w:tcPr>
          <w:p w14:paraId="17AC7CB5" w14:textId="77777777" w:rsidR="006854DE" w:rsidRPr="006854DE" w:rsidRDefault="006854DE" w:rsidP="00467BD5">
            <w:pPr>
              <w:jc w:val="center"/>
              <w:rPr>
                <w:b/>
                <w:sz w:val="20"/>
              </w:rPr>
            </w:pPr>
            <w:r w:rsidRPr="006854DE">
              <w:rPr>
                <w:b/>
                <w:sz w:val="20"/>
              </w:rPr>
              <w:t>Yürürlüğe Giriş Tarihi</w:t>
            </w:r>
          </w:p>
        </w:tc>
      </w:tr>
      <w:tr w:rsidR="006854DE" w14:paraId="0B1BCC7E" w14:textId="77777777" w:rsidTr="00491D7E">
        <w:trPr>
          <w:trHeight w:val="289"/>
        </w:trPr>
        <w:tc>
          <w:tcPr>
            <w:tcW w:w="3016" w:type="dxa"/>
          </w:tcPr>
          <w:p w14:paraId="52ADB98E" w14:textId="14E8B9B0" w:rsidR="006854DE" w:rsidRPr="006854DE" w:rsidRDefault="006854DE" w:rsidP="00467BD5">
            <w:pPr>
              <w:spacing w:after="0" w:line="240" w:lineRule="auto"/>
              <w:jc w:val="center"/>
              <w:rPr>
                <w:sz w:val="20"/>
              </w:rPr>
            </w:pPr>
            <w:r w:rsidRPr="006854DE">
              <w:rPr>
                <w:sz w:val="20"/>
              </w:rPr>
              <w:t>20</w:t>
            </w:r>
            <w:r w:rsidR="0010660D">
              <w:rPr>
                <w:sz w:val="20"/>
              </w:rPr>
              <w:t>24</w:t>
            </w:r>
            <w:r w:rsidRPr="006854DE">
              <w:rPr>
                <w:sz w:val="20"/>
              </w:rPr>
              <w:t>/</w:t>
            </w:r>
            <w:r w:rsidR="00ED3B2E">
              <w:rPr>
                <w:sz w:val="20"/>
              </w:rPr>
              <w:t>5</w:t>
            </w:r>
          </w:p>
        </w:tc>
        <w:tc>
          <w:tcPr>
            <w:tcW w:w="3019" w:type="dxa"/>
          </w:tcPr>
          <w:p w14:paraId="6DB45C91" w14:textId="57441F0D" w:rsidR="006854DE" w:rsidRPr="006854DE" w:rsidRDefault="00ED3B2E" w:rsidP="00467BD5">
            <w:pPr>
              <w:spacing w:after="0" w:line="240" w:lineRule="auto"/>
              <w:jc w:val="center"/>
              <w:rPr>
                <w:sz w:val="20"/>
              </w:rPr>
            </w:pPr>
            <w:r>
              <w:rPr>
                <w:sz w:val="20"/>
              </w:rPr>
              <w:t>18</w:t>
            </w:r>
            <w:r w:rsidR="0010660D">
              <w:rPr>
                <w:sz w:val="20"/>
              </w:rPr>
              <w:t>.01.2024</w:t>
            </w:r>
          </w:p>
        </w:tc>
        <w:tc>
          <w:tcPr>
            <w:tcW w:w="3021" w:type="dxa"/>
          </w:tcPr>
          <w:p w14:paraId="3B501AAA" w14:textId="1FEDDD36" w:rsidR="006854DE" w:rsidRPr="006854DE" w:rsidRDefault="00ED3B2E" w:rsidP="00467BD5">
            <w:pPr>
              <w:jc w:val="center"/>
              <w:rPr>
                <w:sz w:val="20"/>
              </w:rPr>
            </w:pPr>
            <w:r>
              <w:rPr>
                <w:sz w:val="20"/>
              </w:rPr>
              <w:t>18</w:t>
            </w:r>
            <w:r w:rsidR="0010660D">
              <w:rPr>
                <w:sz w:val="20"/>
              </w:rPr>
              <w:t>.01.2024</w:t>
            </w:r>
          </w:p>
        </w:tc>
      </w:tr>
    </w:tbl>
    <w:p w14:paraId="25A9A386" w14:textId="77777777" w:rsidR="00343027" w:rsidRDefault="00343027"/>
    <w:sectPr w:rsidR="00343027">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C8AA2A" w14:textId="77777777" w:rsidR="00286F7C" w:rsidRDefault="00286F7C" w:rsidP="006854DE">
      <w:pPr>
        <w:spacing w:after="0" w:line="240" w:lineRule="auto"/>
      </w:pPr>
      <w:r>
        <w:separator/>
      </w:r>
    </w:p>
  </w:endnote>
  <w:endnote w:type="continuationSeparator" w:id="0">
    <w:p w14:paraId="21445CB8" w14:textId="77777777" w:rsidR="00286F7C" w:rsidRDefault="00286F7C" w:rsidP="006854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0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A2"/>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909BDD" w14:textId="6774B476" w:rsidR="006854DE" w:rsidRPr="00BB50BE" w:rsidRDefault="00BB50BE" w:rsidP="00BB50BE">
    <w:pPr>
      <w:pStyle w:val="Footer"/>
    </w:pPr>
    <w:r>
      <w:rPr>
        <w:rFonts w:eastAsiaTheme="minorHAnsi"/>
        <w:color w:val="000000"/>
        <w:kern w:val="16"/>
        <w:sz w:val="20"/>
        <w:lang w:eastAsia="en-US"/>
      </w:rPr>
      <w:fldChar w:fldCharType="begin" w:fldLock="1"/>
    </w:r>
    <w:r>
      <w:rPr>
        <w:rFonts w:eastAsiaTheme="minorHAnsi"/>
        <w:color w:val="000000"/>
        <w:kern w:val="16"/>
        <w:sz w:val="20"/>
        <w:lang w:eastAsia="en-US"/>
      </w:rPr>
      <w:instrText xml:space="preserve"> DOCPROPERTY bjFooterEvenPageDocProperty \* MERGEFORMAT </w:instrText>
    </w:r>
    <w:r>
      <w:rPr>
        <w:rFonts w:eastAsiaTheme="minorHAnsi"/>
        <w:color w:val="000000"/>
        <w:kern w:val="16"/>
        <w:sz w:val="20"/>
        <w:lang w:eastAsia="en-US"/>
      </w:rPr>
      <w:fldChar w:fldCharType="separate"/>
    </w:r>
    <w:r w:rsidRPr="00ED3B2E">
      <w:rPr>
        <w:rFonts w:ascii="Malgun Gothic" w:eastAsia="Malgun Gothic" w:hAnsi="Malgun Gothic"/>
        <w:b/>
        <w:color w:val="999999"/>
        <w:kern w:val="16"/>
        <w:sz w:val="20"/>
        <w:lang w:eastAsia="en-US"/>
      </w:rPr>
      <w:t>Sınıflandırma|</w:t>
    </w:r>
    <w:r w:rsidRPr="00ED3B2E">
      <w:rPr>
        <w:rFonts w:ascii="Malgun Gothic" w:eastAsia="Malgun Gothic" w:hAnsi="Malgun Gothic"/>
        <w:b/>
        <w:color w:val="339966"/>
        <w:kern w:val="16"/>
        <w:sz w:val="20"/>
        <w:lang w:eastAsia="en-US"/>
      </w:rPr>
      <w:t>Genel</w:t>
    </w:r>
    <w:r>
      <w:rPr>
        <w:rFonts w:eastAsiaTheme="minorHAnsi"/>
        <w:color w:val="000000"/>
        <w:kern w:val="16"/>
        <w:sz w:val="20"/>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1FD630" w14:textId="07F048DD" w:rsidR="006854DE" w:rsidRPr="00BB50BE" w:rsidRDefault="00BB50BE" w:rsidP="00BB50BE">
    <w:pPr>
      <w:pStyle w:val="Footer"/>
    </w:pPr>
    <w:r>
      <w:rPr>
        <w:rFonts w:eastAsiaTheme="minorHAnsi"/>
        <w:color w:val="000000"/>
        <w:kern w:val="16"/>
        <w:sz w:val="20"/>
        <w:lang w:eastAsia="en-US"/>
      </w:rPr>
      <w:fldChar w:fldCharType="begin" w:fldLock="1"/>
    </w:r>
    <w:r>
      <w:rPr>
        <w:rFonts w:eastAsiaTheme="minorHAnsi"/>
        <w:color w:val="000000"/>
        <w:kern w:val="16"/>
        <w:sz w:val="20"/>
        <w:lang w:eastAsia="en-US"/>
      </w:rPr>
      <w:instrText xml:space="preserve"> DOCPROPERTY bjFooterBothDocProperty \* MERGEFORMAT </w:instrText>
    </w:r>
    <w:r>
      <w:rPr>
        <w:rFonts w:eastAsiaTheme="minorHAnsi"/>
        <w:color w:val="000000"/>
        <w:kern w:val="16"/>
        <w:sz w:val="20"/>
        <w:lang w:eastAsia="en-US"/>
      </w:rPr>
      <w:fldChar w:fldCharType="separate"/>
    </w:r>
    <w:r w:rsidRPr="00ED3B2E">
      <w:rPr>
        <w:rFonts w:ascii="Malgun Gothic" w:eastAsia="Malgun Gothic" w:hAnsi="Malgun Gothic"/>
        <w:b/>
        <w:color w:val="999999"/>
        <w:kern w:val="16"/>
        <w:sz w:val="20"/>
        <w:lang w:eastAsia="en-US"/>
      </w:rPr>
      <w:t>Sınıflandırma|</w:t>
    </w:r>
    <w:r w:rsidRPr="00ED3B2E">
      <w:rPr>
        <w:rFonts w:ascii="Malgun Gothic" w:eastAsia="Malgun Gothic" w:hAnsi="Malgun Gothic"/>
        <w:b/>
        <w:color w:val="339966"/>
        <w:kern w:val="16"/>
        <w:sz w:val="20"/>
        <w:lang w:eastAsia="en-US"/>
      </w:rPr>
      <w:t>Genel</w:t>
    </w:r>
    <w:r>
      <w:rPr>
        <w:rFonts w:eastAsiaTheme="minorHAnsi"/>
        <w:color w:val="000000"/>
        <w:kern w:val="16"/>
        <w:sz w:val="20"/>
        <w:lang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244E6D" w14:textId="234EC0DD" w:rsidR="006854DE" w:rsidRPr="00BB50BE" w:rsidRDefault="00BB50BE" w:rsidP="00BB50BE">
    <w:pPr>
      <w:pStyle w:val="Footer"/>
    </w:pPr>
    <w:r>
      <w:rPr>
        <w:rFonts w:eastAsiaTheme="minorHAnsi"/>
        <w:color w:val="000000"/>
        <w:kern w:val="16"/>
        <w:sz w:val="20"/>
        <w:lang w:eastAsia="en-US"/>
      </w:rPr>
      <w:fldChar w:fldCharType="begin" w:fldLock="1"/>
    </w:r>
    <w:r>
      <w:rPr>
        <w:rFonts w:eastAsiaTheme="minorHAnsi"/>
        <w:color w:val="000000"/>
        <w:kern w:val="16"/>
        <w:sz w:val="20"/>
        <w:lang w:eastAsia="en-US"/>
      </w:rPr>
      <w:instrText xml:space="preserve"> DOCPROPERTY bjFooterFirstPageDocProperty \* MERGEFORMAT </w:instrText>
    </w:r>
    <w:r>
      <w:rPr>
        <w:rFonts w:eastAsiaTheme="minorHAnsi"/>
        <w:color w:val="000000"/>
        <w:kern w:val="16"/>
        <w:sz w:val="20"/>
        <w:lang w:eastAsia="en-US"/>
      </w:rPr>
      <w:fldChar w:fldCharType="separate"/>
    </w:r>
    <w:r w:rsidRPr="00ED3B2E">
      <w:rPr>
        <w:rFonts w:ascii="Malgun Gothic" w:eastAsia="Malgun Gothic" w:hAnsi="Malgun Gothic"/>
        <w:b/>
        <w:color w:val="999999"/>
        <w:kern w:val="16"/>
        <w:sz w:val="20"/>
        <w:lang w:eastAsia="en-US"/>
      </w:rPr>
      <w:t>Sınıflandırma|</w:t>
    </w:r>
    <w:r w:rsidRPr="00ED3B2E">
      <w:rPr>
        <w:rFonts w:ascii="Malgun Gothic" w:eastAsia="Malgun Gothic" w:hAnsi="Malgun Gothic"/>
        <w:b/>
        <w:color w:val="339966"/>
        <w:kern w:val="16"/>
        <w:sz w:val="20"/>
        <w:lang w:eastAsia="en-US"/>
      </w:rPr>
      <w:t>Genel</w:t>
    </w:r>
    <w:r>
      <w:rPr>
        <w:rFonts w:eastAsiaTheme="minorHAnsi"/>
        <w:color w:val="000000"/>
        <w:kern w:val="16"/>
        <w:sz w:val="20"/>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F269AC" w14:textId="77777777" w:rsidR="00286F7C" w:rsidRDefault="00286F7C" w:rsidP="006854DE">
      <w:pPr>
        <w:spacing w:after="0" w:line="240" w:lineRule="auto"/>
      </w:pPr>
      <w:r>
        <w:separator/>
      </w:r>
    </w:p>
  </w:footnote>
  <w:footnote w:type="continuationSeparator" w:id="0">
    <w:p w14:paraId="2681556A" w14:textId="77777777" w:rsidR="00286F7C" w:rsidRDefault="00286F7C" w:rsidP="006854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CF8BD5" w14:textId="77777777" w:rsidR="006854DE" w:rsidRDefault="006854D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5739E8" w14:textId="77777777" w:rsidR="006854DE" w:rsidRDefault="006854D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737BAF" w14:textId="77777777" w:rsidR="006854DE" w:rsidRDefault="006854D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012C"/>
    <w:rsid w:val="0007012C"/>
    <w:rsid w:val="000E3656"/>
    <w:rsid w:val="0010660D"/>
    <w:rsid w:val="00217C2A"/>
    <w:rsid w:val="00286F7C"/>
    <w:rsid w:val="00310CE2"/>
    <w:rsid w:val="00343027"/>
    <w:rsid w:val="00354A98"/>
    <w:rsid w:val="003B5137"/>
    <w:rsid w:val="004852B8"/>
    <w:rsid w:val="00491D7E"/>
    <w:rsid w:val="006854DE"/>
    <w:rsid w:val="007076AE"/>
    <w:rsid w:val="00796995"/>
    <w:rsid w:val="00833CE0"/>
    <w:rsid w:val="008E3F85"/>
    <w:rsid w:val="008F5C19"/>
    <w:rsid w:val="009E19F7"/>
    <w:rsid w:val="00AD1804"/>
    <w:rsid w:val="00BB50BE"/>
    <w:rsid w:val="00C05696"/>
    <w:rsid w:val="00CD5880"/>
    <w:rsid w:val="00ED3B2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072965"/>
  <w15:chartTrackingRefBased/>
  <w15:docId w15:val="{C3D391EE-FF51-4A39-80D1-E74FAD22D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854DE"/>
    <w:pPr>
      <w:spacing w:after="180" w:line="276" w:lineRule="auto"/>
    </w:pPr>
    <w:rPr>
      <w:rFonts w:ascii="Arial" w:eastAsia="Times New Roman" w:hAnsi="Arial" w:cs="Arial"/>
      <w:szCs w:val="20"/>
      <w:lang w:eastAsia="tr-TR"/>
    </w:rPr>
  </w:style>
  <w:style w:type="paragraph" w:styleId="Heading2">
    <w:name w:val="heading 2"/>
    <w:basedOn w:val="Normal"/>
    <w:next w:val="Normal"/>
    <w:link w:val="Heading2Char"/>
    <w:uiPriority w:val="9"/>
    <w:qFormat/>
    <w:rsid w:val="006854DE"/>
    <w:pPr>
      <w:keepLines/>
      <w:spacing w:before="280" w:after="280"/>
      <w:outlineLvl w:val="1"/>
    </w:pPr>
    <w:rPr>
      <w:b/>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854DE"/>
    <w:rPr>
      <w:rFonts w:ascii="Arial" w:eastAsia="Times New Roman" w:hAnsi="Arial" w:cs="Arial"/>
      <w:b/>
      <w:sz w:val="36"/>
      <w:szCs w:val="20"/>
      <w:lang w:eastAsia="tr-TR"/>
    </w:rPr>
  </w:style>
  <w:style w:type="table" w:styleId="TableGrid">
    <w:name w:val="Table Grid"/>
    <w:basedOn w:val="TableNormal"/>
    <w:uiPriority w:val="39"/>
    <w:rsid w:val="006854DE"/>
    <w:pPr>
      <w:spacing w:after="0" w:line="240" w:lineRule="auto"/>
    </w:pPr>
    <w:rPr>
      <w:rFonts w:ascii="Arial" w:eastAsia="Times New Roman" w:hAnsi="Arial" w:cs="Arial"/>
      <w:szCs w:val="20"/>
      <w:lang w:eastAsia="tr-TR"/>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 w:type="paragraph" w:styleId="FootnoteText">
    <w:name w:val="footnote text"/>
    <w:basedOn w:val="Normal"/>
    <w:link w:val="FootnoteTextChar"/>
    <w:unhideWhenUsed/>
    <w:rsid w:val="006854DE"/>
    <w:pPr>
      <w:spacing w:after="0" w:line="240" w:lineRule="auto"/>
    </w:pPr>
    <w:rPr>
      <w:sz w:val="20"/>
    </w:rPr>
  </w:style>
  <w:style w:type="character" w:customStyle="1" w:styleId="FootnoteTextChar">
    <w:name w:val="Footnote Text Char"/>
    <w:basedOn w:val="DefaultParagraphFont"/>
    <w:link w:val="FootnoteText"/>
    <w:rsid w:val="006854DE"/>
    <w:rPr>
      <w:rFonts w:ascii="Arial" w:eastAsia="Times New Roman" w:hAnsi="Arial" w:cs="Arial"/>
      <w:sz w:val="20"/>
      <w:szCs w:val="20"/>
      <w:lang w:eastAsia="tr-TR"/>
    </w:rPr>
  </w:style>
  <w:style w:type="character" w:styleId="FootnoteReference">
    <w:name w:val="footnote reference"/>
    <w:basedOn w:val="DefaultParagraphFont"/>
    <w:unhideWhenUsed/>
    <w:rsid w:val="006854DE"/>
    <w:rPr>
      <w:vertAlign w:val="superscript"/>
    </w:rPr>
  </w:style>
  <w:style w:type="paragraph" w:styleId="Header">
    <w:name w:val="header"/>
    <w:basedOn w:val="Normal"/>
    <w:link w:val="HeaderChar"/>
    <w:uiPriority w:val="99"/>
    <w:unhideWhenUsed/>
    <w:rsid w:val="006854DE"/>
    <w:pPr>
      <w:tabs>
        <w:tab w:val="center" w:pos="4536"/>
        <w:tab w:val="right" w:pos="9072"/>
      </w:tabs>
      <w:spacing w:after="0" w:line="240" w:lineRule="auto"/>
    </w:pPr>
  </w:style>
  <w:style w:type="character" w:customStyle="1" w:styleId="HeaderChar">
    <w:name w:val="Header Char"/>
    <w:basedOn w:val="DefaultParagraphFont"/>
    <w:link w:val="Header"/>
    <w:uiPriority w:val="99"/>
    <w:rsid w:val="006854DE"/>
    <w:rPr>
      <w:rFonts w:ascii="Arial" w:eastAsia="Times New Roman" w:hAnsi="Arial" w:cs="Arial"/>
      <w:szCs w:val="20"/>
      <w:lang w:eastAsia="tr-TR"/>
    </w:rPr>
  </w:style>
  <w:style w:type="paragraph" w:styleId="Footer">
    <w:name w:val="footer"/>
    <w:basedOn w:val="Normal"/>
    <w:link w:val="FooterChar"/>
    <w:uiPriority w:val="99"/>
    <w:unhideWhenUsed/>
    <w:rsid w:val="006854DE"/>
    <w:pPr>
      <w:tabs>
        <w:tab w:val="center" w:pos="4536"/>
        <w:tab w:val="right" w:pos="9072"/>
      </w:tabs>
      <w:spacing w:after="0" w:line="240" w:lineRule="auto"/>
    </w:pPr>
  </w:style>
  <w:style w:type="character" w:customStyle="1" w:styleId="FooterChar">
    <w:name w:val="Footer Char"/>
    <w:basedOn w:val="DefaultParagraphFont"/>
    <w:link w:val="Footer"/>
    <w:uiPriority w:val="99"/>
    <w:rsid w:val="006854DE"/>
    <w:rPr>
      <w:rFonts w:ascii="Arial" w:eastAsia="Times New Roman" w:hAnsi="Arial" w:cs="Arial"/>
      <w:szCs w:val="20"/>
      <w:lang w:eastAsia="tr-TR"/>
    </w:rPr>
  </w:style>
  <w:style w:type="character" w:customStyle="1" w:styleId="document-info-data">
    <w:name w:val="document-info-data"/>
    <w:rsid w:val="000E3656"/>
  </w:style>
  <w:style w:type="table" w:customStyle="1" w:styleId="TableNormal1">
    <w:name w:val="Table Normal1"/>
    <w:uiPriority w:val="2"/>
    <w:semiHidden/>
    <w:unhideWhenUsed/>
    <w:qFormat/>
    <w:rsid w:val="0079699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796995"/>
    <w:pPr>
      <w:widowControl w:val="0"/>
      <w:autoSpaceDE w:val="0"/>
      <w:autoSpaceDN w:val="0"/>
      <w:spacing w:before="2" w:after="0" w:line="240" w:lineRule="auto"/>
      <w:ind w:left="117"/>
    </w:pPr>
    <w:rPr>
      <w:rFonts w:ascii="Times New Roman" w:hAnsi="Times New Roman" w:cs="Times New Roman"/>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d="http://www.w3.org/2001/XMLSchema" xmlns:xsi="http://www.w3.org/2001/XMLSchema-instance" xmlns="http://www.boldonjames.com/2008/01/sie/internal/label" sislVersion="0" policy="04d83c17-ec5b-48ae-99c5-c4f3b6610954" origin="userSelected">
  <element uid="16f479a6-fc80-474c-ab11-d67f073bb2c9"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A5CF90-152E-4D2E-9AC6-3B71883459A1}">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F1114741-48B0-41EC-BAF1-F1E7D25D95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804</Words>
  <Characters>4589</Characters>
  <Application>Microsoft Office Word</Application>
  <DocSecurity>0</DocSecurity>
  <Lines>38</Lines>
  <Paragraphs>10</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EGM</Company>
  <LinksUpToDate>false</LinksUpToDate>
  <CharactersWithSpaces>5383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Bahattin ÖZKAN</dc:creator>
  <cp:keywords/>
  <dc:description/>
  <cp:lastModifiedBy>Cemile AVCI</cp:lastModifiedBy>
  <cp:revision>5</cp:revision>
  <cp:lastPrinted>2024-01-23T08:54:00Z</cp:lastPrinted>
  <dcterms:created xsi:type="dcterms:W3CDTF">2024-01-23T08:48:00Z</dcterms:created>
  <dcterms:modified xsi:type="dcterms:W3CDTF">2024-01-23T08:55:00Z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42bb1c2b-85db-4479-9940-2d642eaba514</vt:lpwstr>
  </property>
  <property fmtid="{D5CDD505-2E9C-101B-9397-08002B2CF9AE}" pid="3" name="bjSaver">
    <vt:lpwstr>iZryUG4O9W7v4YkSJ4oIH8Eo71bnL+pl</vt:lpwstr>
  </property>
  <property fmtid="{D5CDD505-2E9C-101B-9397-08002B2CF9AE}" pid="4" name="bjClsUserRVM">
    <vt:lpwstr>[]</vt:lpwstr>
  </property>
  <property fmtid="{D5CDD505-2E9C-101B-9397-08002B2CF9AE}" pid="5" name="bjDocumentLabelXML">
    <vt:lpwstr>&lt;?xml version="1.0" encoding="us-ascii"?&gt;&lt;sisl xmlns:xsd="http://www.w3.org/2001/XMLSchema" xmlns:xsi="http://www.w3.org/2001/XMLSchema-instance" sislVersion="0" policy="04d83c17-ec5b-48ae-99c5-c4f3b6610954" origin="userSelected" xmlns="http://www.boldonj</vt:lpwstr>
  </property>
  <property fmtid="{D5CDD505-2E9C-101B-9397-08002B2CF9AE}" pid="6" name="bjDocumentLabelXML-0">
    <vt:lpwstr>ames.com/2008/01/sie/internal/label"&gt;&lt;element uid="16f479a6-fc80-474c-ab11-d67f073bb2c9" value="" /&gt;&lt;/sisl&gt;</vt:lpwstr>
  </property>
  <property fmtid="{D5CDD505-2E9C-101B-9397-08002B2CF9AE}" pid="7" name="bjDocumentSecurityLabel">
    <vt:lpwstr>Bu iletinin sınıflandırması Genel</vt:lpwstr>
  </property>
  <property fmtid="{D5CDD505-2E9C-101B-9397-08002B2CF9AE}" pid="8" name="bjFooterBothDocProperty">
    <vt:lpwstr>Sınıflandırma|Genel</vt:lpwstr>
  </property>
  <property fmtid="{D5CDD505-2E9C-101B-9397-08002B2CF9AE}" pid="9" name="bjFooterFirstPageDocProperty">
    <vt:lpwstr>Sınıflandırma|Genel</vt:lpwstr>
  </property>
  <property fmtid="{D5CDD505-2E9C-101B-9397-08002B2CF9AE}" pid="10" name="bjFooterEvenPageDocProperty">
    <vt:lpwstr>Sınıflandırma|Genel</vt:lpwstr>
  </property>
</Properties>
</file>