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062D" w14:textId="77777777" w:rsidR="007C72CD" w:rsidRDefault="007C72CD" w:rsidP="00CE6F2E">
      <w:pPr>
        <w:widowControl w:val="0"/>
        <w:autoSpaceDE w:val="0"/>
        <w:autoSpaceDN w:val="0"/>
        <w:adjustRightInd w:val="0"/>
        <w:spacing w:after="0" w:line="240" w:lineRule="auto"/>
        <w:ind w:right="170"/>
        <w:rPr>
          <w:rFonts w:eastAsiaTheme="minorHAnsi"/>
          <w:b/>
          <w:bCs/>
          <w:sz w:val="20"/>
          <w:szCs w:val="22"/>
          <w:u w:val="single"/>
          <w:lang w:eastAsia="en-US"/>
        </w:rPr>
      </w:pPr>
      <w:bookmarkStart w:id="0" w:name="_Hlk143528890"/>
    </w:p>
    <w:p w14:paraId="7903C2BD" w14:textId="77777777" w:rsidR="007C72CD" w:rsidRDefault="007C72CD" w:rsidP="007C72CD">
      <w:pPr>
        <w:widowControl w:val="0"/>
        <w:autoSpaceDE w:val="0"/>
        <w:autoSpaceDN w:val="0"/>
        <w:adjustRightInd w:val="0"/>
        <w:spacing w:after="0" w:line="240" w:lineRule="auto"/>
        <w:ind w:left="170" w:right="170"/>
        <w:rPr>
          <w:rFonts w:eastAsiaTheme="minorHAnsi"/>
          <w:b/>
          <w:bCs/>
          <w:sz w:val="20"/>
          <w:szCs w:val="22"/>
          <w:u w:val="single"/>
          <w:lang w:eastAsia="en-US"/>
        </w:rPr>
      </w:pPr>
    </w:p>
    <w:p w14:paraId="2052B710" w14:textId="77777777" w:rsidR="007C72CD" w:rsidRDefault="007C72CD" w:rsidP="007C72CD">
      <w:pPr>
        <w:widowControl w:val="0"/>
        <w:autoSpaceDE w:val="0"/>
        <w:autoSpaceDN w:val="0"/>
        <w:adjustRightInd w:val="0"/>
        <w:spacing w:after="0" w:line="240" w:lineRule="auto"/>
        <w:ind w:left="170" w:right="170"/>
        <w:rPr>
          <w:rFonts w:eastAsiaTheme="minorHAnsi"/>
          <w:b/>
          <w:bCs/>
          <w:sz w:val="20"/>
          <w:szCs w:val="22"/>
          <w:u w:val="single"/>
          <w:lang w:eastAsia="en-US"/>
        </w:rPr>
      </w:pPr>
      <w:r>
        <w:rPr>
          <w:rFonts w:eastAsiaTheme="minorHAnsi"/>
          <w:b/>
          <w:bCs/>
          <w:sz w:val="20"/>
          <w:szCs w:val="22"/>
          <w:u w:val="single"/>
          <w:lang w:eastAsia="en-US"/>
        </w:rPr>
        <w:t>Resmi Gazete Dışından Kaynak</w:t>
      </w:r>
    </w:p>
    <w:p w14:paraId="20459198" w14:textId="77777777" w:rsidR="007C72CD" w:rsidRDefault="007C72CD" w:rsidP="007C72CD">
      <w:pPr>
        <w:widowControl w:val="0"/>
        <w:autoSpaceDE w:val="0"/>
        <w:autoSpaceDN w:val="0"/>
        <w:adjustRightInd w:val="0"/>
        <w:spacing w:after="0" w:line="240" w:lineRule="auto"/>
        <w:ind w:left="170" w:right="170"/>
        <w:rPr>
          <w:rFonts w:eastAsiaTheme="minorHAnsi"/>
          <w:b/>
          <w:bCs/>
          <w:sz w:val="20"/>
          <w:szCs w:val="22"/>
        </w:rPr>
      </w:pPr>
      <w:r>
        <w:rPr>
          <w:rFonts w:eastAsiaTheme="minorHAnsi"/>
          <w:b/>
          <w:bCs/>
          <w:sz w:val="20"/>
          <w:szCs w:val="22"/>
          <w:u w:val="single"/>
          <w:lang w:eastAsia="en-US"/>
        </w:rPr>
        <w:t>Sigortacılık ve Özel Emeklilik Düzenleme ve Denetleme Kurumu</w:t>
      </w:r>
      <w:r>
        <w:rPr>
          <w:rFonts w:eastAsiaTheme="minorHAnsi"/>
          <w:b/>
          <w:bCs/>
          <w:sz w:val="20"/>
          <w:szCs w:val="22"/>
        </w:rPr>
        <w:tab/>
      </w:r>
      <w:r>
        <w:rPr>
          <w:rFonts w:eastAsiaTheme="minorHAnsi"/>
          <w:b/>
          <w:bCs/>
          <w:sz w:val="20"/>
          <w:szCs w:val="22"/>
        </w:rPr>
        <w:tab/>
      </w:r>
      <w:r>
        <w:rPr>
          <w:rFonts w:eastAsiaTheme="minorHAnsi"/>
          <w:b/>
          <w:bCs/>
          <w:sz w:val="20"/>
          <w:szCs w:val="22"/>
        </w:rPr>
        <w:tab/>
      </w:r>
      <w:bookmarkEnd w:id="0"/>
      <w:r w:rsidR="00995091">
        <w:rPr>
          <w:rFonts w:eastAsiaTheme="minorHAnsi"/>
          <w:b/>
          <w:bCs/>
          <w:sz w:val="20"/>
          <w:szCs w:val="22"/>
        </w:rPr>
        <w:t>17</w:t>
      </w:r>
      <w:r>
        <w:rPr>
          <w:rFonts w:eastAsiaTheme="minorHAnsi"/>
          <w:b/>
          <w:bCs/>
          <w:sz w:val="20"/>
          <w:szCs w:val="22"/>
        </w:rPr>
        <w:t>.</w:t>
      </w:r>
      <w:r w:rsidR="00995091">
        <w:rPr>
          <w:rFonts w:eastAsiaTheme="minorHAnsi"/>
          <w:b/>
          <w:bCs/>
          <w:sz w:val="20"/>
          <w:szCs w:val="22"/>
        </w:rPr>
        <w:t>10</w:t>
      </w:r>
      <w:r>
        <w:rPr>
          <w:rFonts w:eastAsiaTheme="minorHAnsi"/>
          <w:b/>
          <w:bCs/>
          <w:sz w:val="20"/>
          <w:szCs w:val="22"/>
        </w:rPr>
        <w:t>.202</w:t>
      </w:r>
      <w:r w:rsidR="00531E18">
        <w:rPr>
          <w:rFonts w:eastAsiaTheme="minorHAnsi"/>
          <w:b/>
          <w:bCs/>
          <w:sz w:val="20"/>
          <w:szCs w:val="22"/>
        </w:rPr>
        <w:t>4</w:t>
      </w:r>
    </w:p>
    <w:p w14:paraId="27EF3136" w14:textId="77777777" w:rsidR="007C72CD" w:rsidRPr="007C72CD" w:rsidRDefault="007C72CD" w:rsidP="007C72CD">
      <w:pPr>
        <w:widowControl w:val="0"/>
        <w:autoSpaceDE w:val="0"/>
        <w:autoSpaceDN w:val="0"/>
        <w:adjustRightInd w:val="0"/>
        <w:spacing w:after="0" w:line="240" w:lineRule="auto"/>
        <w:ind w:left="170" w:right="170"/>
        <w:rPr>
          <w:rStyle w:val="document-info-data"/>
          <w:rFonts w:eastAsiaTheme="minorHAnsi"/>
          <w:b/>
          <w:bCs/>
          <w:sz w:val="20"/>
          <w:szCs w:val="22"/>
        </w:rPr>
      </w:pPr>
    </w:p>
    <w:p w14:paraId="1E3FB8EA" w14:textId="77777777" w:rsidR="008B76EE" w:rsidRDefault="00F951F5" w:rsidP="00F951F5">
      <w:pPr>
        <w:pStyle w:val="Heading2"/>
        <w:spacing w:before="0" w:after="0"/>
        <w:ind w:left="600" w:right="900"/>
        <w:jc w:val="center"/>
        <w:rPr>
          <w:rStyle w:val="document-info-data"/>
          <w:sz w:val="24"/>
          <w:szCs w:val="24"/>
        </w:rPr>
      </w:pPr>
      <w:r w:rsidRPr="00F951F5">
        <w:rPr>
          <w:sz w:val="24"/>
          <w:szCs w:val="24"/>
        </w:rPr>
        <w:t>2022/16 SAYILI SİGORTACILIK VE ÖZEL EMEKLİLİK</w:t>
      </w:r>
      <w:r>
        <w:rPr>
          <w:sz w:val="24"/>
          <w:szCs w:val="24"/>
        </w:rPr>
        <w:t xml:space="preserve"> </w:t>
      </w:r>
      <w:r w:rsidRPr="00F951F5">
        <w:rPr>
          <w:sz w:val="24"/>
          <w:szCs w:val="24"/>
        </w:rPr>
        <w:t>SEKTÖRLERİNDE İÇ SİSTEMLERE DAİR YÖNETMELİĞİN BAZI</w:t>
      </w:r>
      <w:r>
        <w:rPr>
          <w:sz w:val="24"/>
          <w:szCs w:val="24"/>
        </w:rPr>
        <w:t xml:space="preserve"> </w:t>
      </w:r>
      <w:r w:rsidRPr="00F951F5">
        <w:rPr>
          <w:sz w:val="24"/>
          <w:szCs w:val="24"/>
        </w:rPr>
        <w:t>MADDELERİNİN UYGULANMASI HAKKINDA GENELGEDE</w:t>
      </w:r>
      <w:r>
        <w:rPr>
          <w:sz w:val="24"/>
          <w:szCs w:val="24"/>
        </w:rPr>
        <w:t xml:space="preserve"> </w:t>
      </w:r>
      <w:r w:rsidRPr="00F951F5">
        <w:rPr>
          <w:sz w:val="24"/>
          <w:szCs w:val="24"/>
        </w:rPr>
        <w:t>DEĞİŞİKLİK YAPILMASINA İLİŞKİN GENELGE</w:t>
      </w:r>
      <w:r>
        <w:rPr>
          <w:sz w:val="24"/>
          <w:szCs w:val="24"/>
        </w:rPr>
        <w:t xml:space="preserve"> </w:t>
      </w:r>
      <w:r w:rsidR="00531E18" w:rsidRPr="00531E18">
        <w:rPr>
          <w:rStyle w:val="document-info-data"/>
          <w:sz w:val="24"/>
          <w:szCs w:val="24"/>
        </w:rPr>
        <w:t>(2024/</w:t>
      </w:r>
      <w:r w:rsidR="00995091">
        <w:rPr>
          <w:rStyle w:val="document-info-data"/>
          <w:sz w:val="24"/>
          <w:szCs w:val="24"/>
        </w:rPr>
        <w:t>25</w:t>
      </w:r>
      <w:r w:rsidR="00531E18" w:rsidRPr="00531E18">
        <w:rPr>
          <w:rStyle w:val="document-info-data"/>
          <w:sz w:val="24"/>
          <w:szCs w:val="24"/>
        </w:rPr>
        <w:t>)</w:t>
      </w:r>
    </w:p>
    <w:p w14:paraId="0DA5A9C0" w14:textId="77777777" w:rsidR="007C72CD" w:rsidRDefault="007C72CD" w:rsidP="007C72CD">
      <w:pPr>
        <w:pStyle w:val="Normal1"/>
        <w:spacing w:after="0"/>
      </w:pPr>
    </w:p>
    <w:p w14:paraId="276DDBD4" w14:textId="77777777" w:rsidR="007C72CD" w:rsidRPr="007C72CD" w:rsidRDefault="007C72CD" w:rsidP="007C72CD">
      <w:pPr>
        <w:pStyle w:val="Normal1"/>
        <w:spacing w:after="0"/>
      </w:pPr>
    </w:p>
    <w:p w14:paraId="3C972CE2" w14:textId="77777777" w:rsidR="007C1BBC" w:rsidRDefault="00741589" w:rsidP="00995091">
      <w:pPr>
        <w:spacing w:after="0"/>
        <w:jc w:val="both"/>
        <w:rPr>
          <w:sz w:val="20"/>
        </w:rPr>
      </w:pPr>
      <w:r w:rsidRPr="007C72CD">
        <w:rPr>
          <w:b/>
          <w:sz w:val="20"/>
        </w:rPr>
        <w:t xml:space="preserve">MADDE </w:t>
      </w:r>
      <w:r w:rsidR="00531E18">
        <w:rPr>
          <w:b/>
          <w:sz w:val="20"/>
        </w:rPr>
        <w:t xml:space="preserve">1- </w:t>
      </w:r>
      <w:r w:rsidR="00531E18" w:rsidRPr="00531E18">
        <w:rPr>
          <w:sz w:val="20"/>
        </w:rPr>
        <w:t xml:space="preserve">(1) </w:t>
      </w:r>
      <w:r w:rsidR="00995091" w:rsidRPr="00995091">
        <w:rPr>
          <w:sz w:val="20"/>
        </w:rPr>
        <w:t xml:space="preserve">30/05/2022 tarihli 2022/16 sayılı Sigortacılık ve özel Emeklilik Sektörlerinde iç Sistemlere Dair Yönetmeliğin Bazı Maddelerinin Uygulanması Hakkında Genelgenin 2 inci maddesinin ikinci fıkrasının </w:t>
      </w:r>
      <w:r w:rsidR="00995091">
        <w:rPr>
          <w:sz w:val="20"/>
        </w:rPr>
        <w:t>11</w:t>
      </w:r>
      <w:r w:rsidR="00995091" w:rsidRPr="00995091">
        <w:rPr>
          <w:sz w:val="20"/>
        </w:rPr>
        <w:t xml:space="preserve"> numaralı bendi yürürlükten kaldırılmıştır.</w:t>
      </w:r>
    </w:p>
    <w:p w14:paraId="0EA19DEA" w14:textId="77777777" w:rsidR="00995091" w:rsidRPr="007C72CD" w:rsidRDefault="00995091" w:rsidP="00995091">
      <w:pPr>
        <w:spacing w:after="0"/>
        <w:jc w:val="both"/>
        <w:rPr>
          <w:b/>
          <w:sz w:val="20"/>
        </w:rPr>
      </w:pPr>
    </w:p>
    <w:p w14:paraId="6933DC3E" w14:textId="77777777" w:rsidR="00995091" w:rsidRDefault="00741589" w:rsidP="00995091">
      <w:pPr>
        <w:spacing w:after="0"/>
        <w:jc w:val="both"/>
        <w:rPr>
          <w:sz w:val="20"/>
        </w:rPr>
      </w:pPr>
      <w:r w:rsidRPr="007C72CD">
        <w:rPr>
          <w:b/>
          <w:sz w:val="20"/>
        </w:rPr>
        <w:t xml:space="preserve">MADDE </w:t>
      </w:r>
      <w:r w:rsidR="00531E18">
        <w:rPr>
          <w:b/>
          <w:sz w:val="20"/>
        </w:rPr>
        <w:t xml:space="preserve">2- </w:t>
      </w:r>
      <w:r w:rsidR="00995091" w:rsidRPr="00995091">
        <w:rPr>
          <w:sz w:val="20"/>
        </w:rPr>
        <w:t>(1) 30/05/2022 tarihli 2022/16 sayılı Sigortacılık ve özel Emeklilik Sektörlerinde İç Sistemlere Dair Yönetmeliğin Bazı Maddelerinin Uygulanması Hakkında Genelgenin 3 üncü maddesinin ikinci fıkrası aşağıdaki şekilde değiştirilmiştir.</w:t>
      </w:r>
    </w:p>
    <w:p w14:paraId="0595263F" w14:textId="77777777" w:rsidR="00995091" w:rsidRDefault="00995091" w:rsidP="00995091">
      <w:pPr>
        <w:spacing w:after="0"/>
        <w:jc w:val="both"/>
        <w:rPr>
          <w:sz w:val="20"/>
        </w:rPr>
      </w:pPr>
    </w:p>
    <w:p w14:paraId="45E8EBB2" w14:textId="77777777" w:rsidR="00995091" w:rsidRPr="00995091" w:rsidRDefault="00995091" w:rsidP="00995091">
      <w:pPr>
        <w:spacing w:after="0"/>
        <w:jc w:val="both"/>
        <w:rPr>
          <w:sz w:val="20"/>
        </w:rPr>
      </w:pPr>
      <w:r w:rsidRPr="00995091">
        <w:rPr>
          <w:sz w:val="20"/>
        </w:rPr>
        <w:t>"(2) Yönetmeliğin 6 ncı maddesinin birinci fıkrasının (f) bendi gereği denetim komitesi üyelerinin kuruluşla çıkar çatışması olan ticari kuruluşlarda görev almasının yasaklanmış olması nedeniyle; bağımsız denetim, derecelendirme veya değerleme alanlarının yanı sıra dışarıdan hizmet alınması halinde hizmet alınan kuruluş ile şirketin çıkar çatışması bulunacağından denetim komitesi üyeleri hizmet alınan ticari kuruluşlarda icrai görev alamaz. Aynı maddenin birinci fıkrasının (c) bendi çerçevesinde bu kurumların icrai olmayan yönetim kurulu üyelerinin denetim komitesi üyesi olmasında bir sakınca bulunmamaktadır.”</w:t>
      </w:r>
    </w:p>
    <w:p w14:paraId="13A6D6F8" w14:textId="77777777" w:rsidR="00995091" w:rsidRDefault="00995091" w:rsidP="00531E18">
      <w:pPr>
        <w:spacing w:after="0"/>
        <w:rPr>
          <w:sz w:val="20"/>
        </w:rPr>
      </w:pPr>
    </w:p>
    <w:p w14:paraId="0291B0A1" w14:textId="77777777" w:rsidR="00995091" w:rsidRDefault="00995091" w:rsidP="00995091">
      <w:pPr>
        <w:spacing w:after="0"/>
        <w:jc w:val="both"/>
        <w:rPr>
          <w:sz w:val="20"/>
        </w:rPr>
      </w:pPr>
      <w:r>
        <w:rPr>
          <w:b/>
          <w:sz w:val="20"/>
        </w:rPr>
        <w:t xml:space="preserve">MADDE 3- </w:t>
      </w:r>
      <w:r w:rsidRPr="00995091">
        <w:rPr>
          <w:sz w:val="20"/>
        </w:rPr>
        <w:t>(1) 30/05/2022 tarihli 2022/16 sayılı Sigo</w:t>
      </w:r>
      <w:r>
        <w:rPr>
          <w:sz w:val="20"/>
        </w:rPr>
        <w:t>r</w:t>
      </w:r>
      <w:r w:rsidRPr="00995091">
        <w:rPr>
          <w:sz w:val="20"/>
        </w:rPr>
        <w:t>tacı</w:t>
      </w:r>
      <w:r>
        <w:rPr>
          <w:sz w:val="20"/>
        </w:rPr>
        <w:t>l</w:t>
      </w:r>
      <w:r w:rsidRPr="00995091">
        <w:rPr>
          <w:sz w:val="20"/>
        </w:rPr>
        <w:t xml:space="preserve">ık ve </w:t>
      </w:r>
      <w:r>
        <w:rPr>
          <w:sz w:val="20"/>
        </w:rPr>
        <w:t>Ö</w:t>
      </w:r>
      <w:r w:rsidRPr="00995091">
        <w:rPr>
          <w:sz w:val="20"/>
        </w:rPr>
        <w:t>zel Emeklilik Sektörlerinde İç Sistemlere Dair Yönetmeliğin Bazı Maddelerinin Uygulanması Hakkında Genelgenin 13 üncü maddesinin on</w:t>
      </w:r>
      <w:r>
        <w:rPr>
          <w:sz w:val="20"/>
        </w:rPr>
        <w:t xml:space="preserve"> </w:t>
      </w:r>
      <w:r w:rsidRPr="00995091">
        <w:rPr>
          <w:sz w:val="20"/>
        </w:rPr>
        <w:t>birinci fıkrası yürürlükten kaldırılmış olup aynı maddeye aşağıdaki fıkra eklenmiştir.</w:t>
      </w:r>
    </w:p>
    <w:p w14:paraId="2A31BD5F" w14:textId="77777777" w:rsidR="00995091" w:rsidRPr="00995091" w:rsidRDefault="00995091" w:rsidP="00995091">
      <w:pPr>
        <w:spacing w:after="0"/>
        <w:jc w:val="both"/>
        <w:rPr>
          <w:sz w:val="20"/>
        </w:rPr>
      </w:pPr>
    </w:p>
    <w:p w14:paraId="513AB7C9" w14:textId="77777777" w:rsidR="00995091" w:rsidRPr="00995091" w:rsidRDefault="00995091" w:rsidP="00995091">
      <w:pPr>
        <w:spacing w:after="0"/>
        <w:jc w:val="both"/>
        <w:rPr>
          <w:sz w:val="20"/>
        </w:rPr>
      </w:pPr>
      <w:r w:rsidRPr="00995091">
        <w:rPr>
          <w:sz w:val="20"/>
        </w:rPr>
        <w:t>"(14) Bu maddenin beşinci ve sekizinci fıkraları kapsamında yapılacak raporlamalar, 2024 yılı Ekim ayında, bu maddenin dördüncü, yedinci, on ikinci ve on üçüncü fıkraları kapsamında yapılacak raporlamalar 2025 Ocak ayında, bu maddenin altıncı fıkrası kapsamında yapılacak raporlama ise 2025 Nisan ayında şirketlerin int</w:t>
      </w:r>
      <w:bookmarkStart w:id="1" w:name="_GoBack"/>
      <w:bookmarkEnd w:id="1"/>
      <w:r w:rsidRPr="00995091">
        <w:rPr>
          <w:sz w:val="20"/>
        </w:rPr>
        <w:t>e</w:t>
      </w:r>
      <w:r>
        <w:rPr>
          <w:sz w:val="20"/>
        </w:rPr>
        <w:t>rn</w:t>
      </w:r>
      <w:r w:rsidRPr="00995091">
        <w:rPr>
          <w:sz w:val="20"/>
        </w:rPr>
        <w:t>et sitesinde yayımlanır. Faaliyet ruhsatını alan şirketler prim üretimine başlamalarını takip eden çeyrek sonu itibarıyla raporlama yapar.”</w:t>
      </w:r>
    </w:p>
    <w:p w14:paraId="54A9756E" w14:textId="77777777" w:rsidR="00995091" w:rsidRDefault="00995091" w:rsidP="00531E18">
      <w:pPr>
        <w:spacing w:after="0"/>
        <w:rPr>
          <w:sz w:val="20"/>
        </w:rPr>
      </w:pPr>
    </w:p>
    <w:p w14:paraId="040AEDE2" w14:textId="77777777" w:rsidR="00995091" w:rsidRDefault="00995091" w:rsidP="00531E18">
      <w:pPr>
        <w:spacing w:after="0"/>
        <w:rPr>
          <w:sz w:val="20"/>
        </w:rPr>
      </w:pPr>
    </w:p>
    <w:p w14:paraId="3254A050" w14:textId="77777777" w:rsidR="008B76EE" w:rsidRDefault="00995091" w:rsidP="00531E18">
      <w:pPr>
        <w:spacing w:after="0"/>
        <w:rPr>
          <w:sz w:val="20"/>
        </w:rPr>
      </w:pPr>
      <w:r>
        <w:rPr>
          <w:b/>
          <w:sz w:val="20"/>
        </w:rPr>
        <w:t>MADDE 4-</w:t>
      </w:r>
      <w:r w:rsidRPr="00531E18">
        <w:rPr>
          <w:sz w:val="20"/>
        </w:rPr>
        <w:t xml:space="preserve"> </w:t>
      </w:r>
      <w:r w:rsidR="00531E18" w:rsidRPr="00531E18">
        <w:rPr>
          <w:sz w:val="20"/>
        </w:rPr>
        <w:t>(1) Bu Genelge yayımı tarihinde yürürlüğe girer.</w:t>
      </w:r>
    </w:p>
    <w:p w14:paraId="7396F327" w14:textId="77777777" w:rsidR="007C72CD" w:rsidRPr="007C72CD" w:rsidRDefault="007C72CD" w:rsidP="007C72CD">
      <w:pPr>
        <w:spacing w:after="0"/>
        <w:rPr>
          <w:b/>
          <w:sz w:val="20"/>
        </w:rPr>
      </w:pPr>
    </w:p>
    <w:p w14:paraId="00FB140F" w14:textId="425B56B7" w:rsidR="008B76EE" w:rsidRPr="007C72CD" w:rsidRDefault="00995091">
      <w:pPr>
        <w:jc w:val="both"/>
        <w:rPr>
          <w:sz w:val="20"/>
        </w:rPr>
      </w:pPr>
      <w:r>
        <w:rPr>
          <w:b/>
          <w:sz w:val="20"/>
        </w:rPr>
        <w:t>MADDE 5-</w:t>
      </w:r>
      <w:r w:rsidRPr="00531E18">
        <w:rPr>
          <w:sz w:val="20"/>
        </w:rPr>
        <w:t xml:space="preserve"> </w:t>
      </w:r>
      <w:r w:rsidR="00531E18" w:rsidRPr="00531E18">
        <w:rPr>
          <w:sz w:val="20"/>
        </w:rPr>
        <w:t>(1) Bu Genelge hükümlerini Sigortacılık ve Özel Emeklilik Düzenleme ve Denetleme Kurumu Başkanı yürütür.</w:t>
      </w:r>
    </w:p>
    <w:sectPr w:rsidR="008B76EE" w:rsidRPr="007C72CD">
      <w:headerReference w:type="even" r:id="rId7"/>
      <w:headerReference w:type="default" r:id="rId8"/>
      <w:footerReference w:type="even" r:id="rId9"/>
      <w:footerReference w:type="default" r:id="rId10"/>
      <w:headerReference w:type="first" r:id="rId11"/>
      <w:footerReference w:type="first" r:id="rId12"/>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80FA" w14:textId="77777777" w:rsidR="004E51A6" w:rsidRDefault="004E51A6">
      <w:pPr>
        <w:spacing w:after="0" w:line="240" w:lineRule="auto"/>
      </w:pPr>
      <w:r>
        <w:separator/>
      </w:r>
    </w:p>
  </w:endnote>
  <w:endnote w:type="continuationSeparator" w:id="0">
    <w:p w14:paraId="5285D744" w14:textId="77777777" w:rsidR="004E51A6" w:rsidRDefault="004E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BB0C" w14:textId="70B76A39" w:rsidR="007C72CD" w:rsidRPr="00140EC6" w:rsidRDefault="00140EC6" w:rsidP="00140EC6">
    <w:pPr>
      <w:pStyle w:val="Footer"/>
    </w:pPr>
    <w:r>
      <w:rPr>
        <w:b/>
      </w:rPr>
      <w:fldChar w:fldCharType="begin" w:fldLock="1"/>
    </w:r>
    <w:r>
      <w:rPr>
        <w:b/>
      </w:rPr>
      <w:instrText xml:space="preserve"> DOCPROPERTY bjFooterEvenPageDocProperty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E0B7" w14:textId="1AC99167" w:rsidR="007C72CD" w:rsidRPr="00140EC6" w:rsidRDefault="00140EC6" w:rsidP="00140EC6">
    <w:pPr>
      <w:pStyle w:val="Footer"/>
    </w:pPr>
    <w:r>
      <w:rPr>
        <w:b/>
      </w:rPr>
      <w:fldChar w:fldCharType="begin" w:fldLock="1"/>
    </w:r>
    <w:r>
      <w:rPr>
        <w:b/>
      </w:rPr>
      <w:instrText xml:space="preserve"> DOCPROPERTY bjFooterBothDocProperty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8A442" w14:textId="2BD132B0" w:rsidR="007C72CD" w:rsidRPr="00140EC6" w:rsidRDefault="00140EC6" w:rsidP="00140EC6">
    <w:pPr>
      <w:pStyle w:val="Footer"/>
    </w:pPr>
    <w:r>
      <w:rPr>
        <w:b/>
      </w:rPr>
      <w:fldChar w:fldCharType="begin" w:fldLock="1"/>
    </w:r>
    <w:r>
      <w:rPr>
        <w:b/>
      </w:rPr>
      <w:instrText xml:space="preserve"> DOCPROPERTY bjFooterFirstPageDocProperty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2D3C" w14:textId="77777777" w:rsidR="004E51A6" w:rsidRDefault="004E51A6">
      <w:pPr>
        <w:spacing w:after="0" w:line="240" w:lineRule="auto"/>
      </w:pPr>
      <w:r>
        <w:separator/>
      </w:r>
    </w:p>
  </w:footnote>
  <w:footnote w:type="continuationSeparator" w:id="0">
    <w:p w14:paraId="17919A07" w14:textId="77777777" w:rsidR="004E51A6" w:rsidRDefault="004E5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513B" w14:textId="77777777" w:rsidR="007C72CD" w:rsidRDefault="007C7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A821" w14:textId="77777777" w:rsidR="007C72CD" w:rsidRDefault="007C7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6C83" w14:textId="77777777" w:rsidR="007C72CD" w:rsidRDefault="007C7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E"/>
    <w:rsid w:val="00140EC6"/>
    <w:rsid w:val="00367A1F"/>
    <w:rsid w:val="003E0B4B"/>
    <w:rsid w:val="004E51A6"/>
    <w:rsid w:val="00531E18"/>
    <w:rsid w:val="005622DE"/>
    <w:rsid w:val="005A2165"/>
    <w:rsid w:val="00741589"/>
    <w:rsid w:val="007C1BBC"/>
    <w:rsid w:val="007C72CD"/>
    <w:rsid w:val="008B76EE"/>
    <w:rsid w:val="00995091"/>
    <w:rsid w:val="00CE6F2E"/>
    <w:rsid w:val="00D41369"/>
    <w:rsid w:val="00F509CC"/>
    <w:rsid w:val="00F95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28FA"/>
  <w15:docId w15:val="{5FAB41AC-7DA8-408A-9852-111E487E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1"/>
    <w:next w:val="Normal1"/>
    <w:uiPriority w:val="9"/>
    <w:unhideWhenUsed/>
    <w:qFormat/>
    <w:pPr>
      <w:keepLines/>
      <w:spacing w:before="280" w:after="280"/>
      <w:outlineLvl w:val="1"/>
    </w:pPr>
    <w:rPr>
      <w:b/>
      <w:sz w:val="36"/>
    </w:rPr>
  </w:style>
  <w:style w:type="paragraph" w:styleId="Heading4">
    <w:name w:val="heading 4"/>
    <w:basedOn w:val="Normal"/>
    <w:next w:val="Normal"/>
    <w:uiPriority w:val="9"/>
    <w:semiHidden/>
    <w:unhideWhenUsed/>
    <w:qFormat/>
    <w:pPr>
      <w:keepLines/>
      <w:spacing w:before="280" w:after="28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Hyperlink">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paragraph" w:styleId="Header">
    <w:name w:val="header"/>
    <w:basedOn w:val="Normal"/>
    <w:link w:val="HeaderChar"/>
    <w:uiPriority w:val="99"/>
    <w:unhideWhenUsed/>
    <w:rsid w:val="007C72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2CD"/>
  </w:style>
  <w:style w:type="paragraph" w:styleId="Footer">
    <w:name w:val="footer"/>
    <w:basedOn w:val="Normal"/>
    <w:link w:val="FooterChar"/>
    <w:uiPriority w:val="99"/>
    <w:unhideWhenUsed/>
    <w:rsid w:val="007C72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2CD"/>
  </w:style>
  <w:style w:type="paragraph" w:styleId="ListParagraph">
    <w:name w:val="List Paragraph"/>
    <w:basedOn w:val="Normal"/>
    <w:uiPriority w:val="34"/>
    <w:qFormat/>
    <w:rsid w:val="007C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0376">
      <w:bodyDiv w:val="1"/>
      <w:marLeft w:val="0"/>
      <w:marRight w:val="0"/>
      <w:marTop w:val="0"/>
      <w:marBottom w:val="0"/>
      <w:divBdr>
        <w:top w:val="none" w:sz="0" w:space="0" w:color="auto"/>
        <w:left w:val="none" w:sz="0" w:space="0" w:color="auto"/>
        <w:bottom w:val="none" w:sz="0" w:space="0" w:color="auto"/>
        <w:right w:val="none" w:sz="0" w:space="0" w:color="auto"/>
      </w:divBdr>
    </w:div>
    <w:div w:id="394819827">
      <w:bodyDiv w:val="1"/>
      <w:marLeft w:val="0"/>
      <w:marRight w:val="0"/>
      <w:marTop w:val="0"/>
      <w:marBottom w:val="0"/>
      <w:divBdr>
        <w:top w:val="none" w:sz="0" w:space="0" w:color="auto"/>
        <w:left w:val="none" w:sz="0" w:space="0" w:color="auto"/>
        <w:bottom w:val="none" w:sz="0" w:space="0" w:color="auto"/>
        <w:right w:val="none" w:sz="0" w:space="0" w:color="auto"/>
      </w:divBdr>
    </w:div>
    <w:div w:id="64220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3E0F039-36D4-46ED-9D10-0605CEC925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2037</Characters>
  <Application>Microsoft Office Word</Application>
  <DocSecurity>0</DocSecurity>
  <Lines>41</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2016/39 Sayılı “Bireysel Emeklilik Sistemi Hakkında Genelge”de Değişiklik Yapılmasına İlişkin Genelge</vt:lpstr>
      <vt:lpstr>2016/39 Sayılı “Bireysel Emeklilik Sistemi Hakkında Genelge”de Değişiklik Yapılmasına İlişkin Genelge</vt:lpstr>
    </vt:vector>
  </TitlesOfParts>
  <Company>Emeklilik Gozetim Merkezi</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2016/39 Sayılı “Bireysel Emeklilik Sistemi Hakkında Genelge”de Değişiklik Yapılmasına İlişkin Genelge</dc:title>
  <dc:subject>Law Document</dc:subject>
  <dc:creator>Lexpera</dc:creator>
  <cp:lastModifiedBy>yazar</cp:lastModifiedBy>
  <cp:revision>5</cp:revision>
  <cp:lastPrinted>2024-10-21T06:51:00Z</cp:lastPrinted>
  <dcterms:created xsi:type="dcterms:W3CDTF">2024-10-21T06:51:00Z</dcterms:created>
  <dcterms:modified xsi:type="dcterms:W3CDTF">2024-10-21T08:06:00Z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e0c781d2-eeba-4e54-b370-9e0b5667729d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